
<file path=[Content_Types].xml><?xml version="1.0" encoding="utf-8"?>
<Types xmlns="http://schemas.openxmlformats.org/package/2006/content-types">
  <Override PartName="/word/footnotes.xml" ContentType="application/vnd.openxmlformats-officedocument.wordprocessingml.footnotes+xml"/>
  <Override PartName="/docMetadata/LabelInfo.xml" ContentType="application/vnd.ms-office.classificationlabel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C22" w:rsidRPr="00EA1C22" w:rsidRDefault="00EA1C22" w:rsidP="00DE3592">
      <w:pPr>
        <w:spacing w:beforeLines="60" w:afterLines="60" w:line="240" w:lineRule="auto"/>
        <w:jc w:val="both"/>
        <w:rPr>
          <w:rFonts w:ascii="Times New Roman" w:eastAsia="Times New Roman" w:hAnsi="Times New Roman" w:cs="Times New Roman"/>
          <w:b/>
          <w:bCs/>
          <w:sz w:val="20"/>
          <w:szCs w:val="20"/>
        </w:rPr>
      </w:pPr>
      <w:r w:rsidRPr="00EA1C22">
        <w:rPr>
          <w:rFonts w:ascii="Times New Roman" w:eastAsia="Times New Roman" w:hAnsi="Times New Roman" w:cs="Times New Roman"/>
          <w:b/>
          <w:bCs/>
          <w:sz w:val="20"/>
          <w:szCs w:val="20"/>
        </w:rPr>
        <w:t xml:space="preserve">Stan na dzień sporządzenia prospektu informacyjnego </w:t>
      </w:r>
    </w:p>
    <w:p w:rsidR="00EA1C22" w:rsidRPr="00EA1C22" w:rsidRDefault="00EA1C22" w:rsidP="00920895">
      <w:pPr>
        <w:widowControl w:val="0"/>
        <w:autoSpaceDE w:val="0"/>
        <w:autoSpaceDN w:val="0"/>
        <w:adjustRightInd w:val="0"/>
        <w:spacing w:after="0" w:line="360" w:lineRule="auto"/>
        <w:ind w:left="6379"/>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Data </w:t>
      </w:r>
    </w:p>
    <w:p w:rsidR="00EA1C22" w:rsidRPr="00EA1C22" w:rsidRDefault="00EA1C22" w:rsidP="00920895">
      <w:pPr>
        <w:widowControl w:val="0"/>
        <w:autoSpaceDE w:val="0"/>
        <w:autoSpaceDN w:val="0"/>
        <w:adjustRightInd w:val="0"/>
        <w:spacing w:after="0" w:line="360" w:lineRule="auto"/>
        <w:ind w:left="6379"/>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sporządzenia</w:t>
      </w:r>
    </w:p>
    <w:p w:rsidR="00EA1C22" w:rsidRPr="00EA1C22" w:rsidRDefault="00EA1C22" w:rsidP="00920895">
      <w:pPr>
        <w:widowControl w:val="0"/>
        <w:autoSpaceDE w:val="0"/>
        <w:autoSpaceDN w:val="0"/>
        <w:adjustRightInd w:val="0"/>
        <w:spacing w:after="0" w:line="360" w:lineRule="auto"/>
        <w:ind w:left="6379"/>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prospektu</w:t>
      </w:r>
      <w:r w:rsidR="00AB412E" w:rsidRPr="0068673E">
        <w:rPr>
          <w:rFonts w:ascii="Times New Roman" w:eastAsia="Times New Roman" w:hAnsi="Times New Roman" w:cs="Times New Roman"/>
          <w:sz w:val="20"/>
          <w:szCs w:val="20"/>
        </w:rPr>
        <w:t>24.11.2025r.</w:t>
      </w:r>
    </w:p>
    <w:p w:rsidR="00EA1C22" w:rsidRPr="00EA1C22" w:rsidRDefault="00EA1C22" w:rsidP="00EA1C22">
      <w:pPr>
        <w:spacing w:before="60" w:after="60" w:line="240" w:lineRule="auto"/>
        <w:jc w:val="center"/>
        <w:outlineLvl w:val="0"/>
        <w:rPr>
          <w:rFonts w:ascii="Times New Roman" w:eastAsia="Calibri" w:hAnsi="Times New Roman" w:cs="Times New Roman"/>
          <w:b/>
          <w:sz w:val="20"/>
          <w:szCs w:val="20"/>
        </w:rPr>
      </w:pPr>
    </w:p>
    <w:p w:rsidR="00EA1C22" w:rsidRPr="00EA1C22" w:rsidRDefault="00EA1C22" w:rsidP="00DE3592">
      <w:pPr>
        <w:spacing w:beforeLines="60" w:afterLines="60" w:line="240" w:lineRule="auto"/>
        <w:jc w:val="center"/>
        <w:outlineLvl w:val="0"/>
        <w:rPr>
          <w:rFonts w:ascii="Times New Roman" w:eastAsia="Calibri" w:hAnsi="Times New Roman" w:cs="Times New Roman"/>
          <w:b/>
          <w:sz w:val="20"/>
          <w:szCs w:val="20"/>
        </w:rPr>
      </w:pPr>
      <w:r w:rsidRPr="00EA1C22">
        <w:rPr>
          <w:rFonts w:ascii="Times New Roman" w:eastAsia="Calibri" w:hAnsi="Times New Roman" w:cs="Times New Roman"/>
          <w:b/>
          <w:sz w:val="20"/>
          <w:szCs w:val="20"/>
        </w:rPr>
        <w:t xml:space="preserve">PROSPEKT INFORMACYJNY </w:t>
      </w:r>
    </w:p>
    <w:p w:rsidR="00EA1C22" w:rsidRPr="00EA1C22" w:rsidRDefault="00EA1C22" w:rsidP="00EA1C22">
      <w:pPr>
        <w:spacing w:before="60" w:after="60" w:line="240" w:lineRule="auto"/>
        <w:jc w:val="center"/>
        <w:outlineLvl w:val="0"/>
        <w:rPr>
          <w:rFonts w:ascii="Times New Roman" w:eastAsia="Calibri" w:hAnsi="Times New Roman" w:cs="Times New Roman"/>
          <w:b/>
          <w:sz w:val="20"/>
          <w:szCs w:val="20"/>
        </w:rPr>
      </w:pPr>
    </w:p>
    <w:p w:rsidR="00EA1C22" w:rsidRPr="00EA1C22" w:rsidRDefault="00EA1C22" w:rsidP="00DE3592">
      <w:pPr>
        <w:spacing w:beforeLines="60" w:afterLines="60" w:line="240" w:lineRule="auto"/>
        <w:outlineLvl w:val="0"/>
        <w:rPr>
          <w:rFonts w:ascii="Times New Roman" w:eastAsia="Calibri" w:hAnsi="Times New Roman" w:cs="Times New Roman"/>
          <w:b/>
          <w:sz w:val="20"/>
          <w:szCs w:val="20"/>
        </w:rPr>
      </w:pPr>
      <w:r w:rsidRPr="00EA1C22">
        <w:rPr>
          <w:rFonts w:ascii="Times New Roman" w:eastAsia="Calibri" w:hAnsi="Times New Roman" w:cs="Times New Roman"/>
          <w:b/>
          <w:sz w:val="20"/>
          <w:szCs w:val="20"/>
        </w:rPr>
        <w:t>CZĘŚĆ OGÓLNA</w:t>
      </w:r>
    </w:p>
    <w:p w:rsidR="00EA1C22" w:rsidRPr="00EA1C22" w:rsidRDefault="00EA1C22" w:rsidP="00920895">
      <w:pPr>
        <w:spacing w:after="0" w:line="240" w:lineRule="auto"/>
        <w:outlineLvl w:val="0"/>
        <w:rPr>
          <w:rFonts w:ascii="Times New Roman" w:eastAsia="Calibri" w:hAnsi="Times New Roman" w:cs="Times New Roman"/>
          <w:b/>
          <w:sz w:val="20"/>
          <w:szCs w:val="20"/>
        </w:rPr>
      </w:pPr>
    </w:p>
    <w:p w:rsidR="00EA1C22" w:rsidRPr="00EA1C22" w:rsidRDefault="00EA1C22" w:rsidP="00920895">
      <w:pPr>
        <w:widowControl w:val="0"/>
        <w:numPr>
          <w:ilvl w:val="0"/>
          <w:numId w:val="1"/>
        </w:numPr>
        <w:autoSpaceDE w:val="0"/>
        <w:autoSpaceDN w:val="0"/>
        <w:adjustRightInd w:val="0"/>
        <w:spacing w:after="100" w:afterAutospacing="1" w:line="240" w:lineRule="auto"/>
        <w:ind w:left="1077"/>
        <w:jc w:val="both"/>
        <w:rPr>
          <w:rFonts w:ascii="Times New Roman" w:eastAsia="Times New Roman" w:hAnsi="Times New Roman" w:cs="Times New Roman"/>
          <w:b/>
          <w:bCs/>
          <w:sz w:val="20"/>
          <w:szCs w:val="20"/>
        </w:rPr>
      </w:pPr>
      <w:r w:rsidRPr="00EA1C22">
        <w:rPr>
          <w:rFonts w:ascii="Times New Roman" w:eastAsia="Times New Roman" w:hAnsi="Times New Roman" w:cs="Times New Roman"/>
          <w:b/>
          <w:bCs/>
          <w:sz w:val="20"/>
          <w:szCs w:val="20"/>
        </w:rPr>
        <w:t>DANE IDENTYFIKACYJNE I KONTAKTOWE DOTYCZĄCE DEWELOPERA</w:t>
      </w:r>
    </w:p>
    <w:tbl>
      <w:tblPr>
        <w:tblpPr w:leftFromText="141" w:rightFromText="141" w:vertAnchor="text" w:horzAnchor="margin" w:tblpY="50"/>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3240"/>
        <w:gridCol w:w="3420"/>
      </w:tblGrid>
      <w:tr w:rsidR="00EA1C22" w:rsidRPr="00EA1C22" w:rsidTr="00E6102C">
        <w:tc>
          <w:tcPr>
            <w:tcW w:w="9648" w:type="dxa"/>
            <w:gridSpan w:val="3"/>
            <w:tcBorders>
              <w:bottom w:val="single" w:sz="4" w:space="0" w:color="auto"/>
            </w:tcBorders>
            <w:shd w:val="clear" w:color="auto" w:fill="E0E0E0"/>
          </w:tcPr>
          <w:p w:rsidR="00EA1C22" w:rsidRPr="00EA1C22" w:rsidRDefault="00EA1C22" w:rsidP="00DE3592">
            <w:pPr>
              <w:spacing w:beforeLines="60" w:afterLines="60" w:line="240" w:lineRule="auto"/>
              <w:jc w:val="both"/>
              <w:rPr>
                <w:rFonts w:ascii="Times New Roman" w:eastAsia="Times New Roman" w:hAnsi="Times New Roman" w:cs="Times New Roman"/>
                <w:b/>
                <w:bCs/>
                <w:sz w:val="20"/>
                <w:szCs w:val="20"/>
              </w:rPr>
            </w:pPr>
            <w:r w:rsidRPr="00EA1C22">
              <w:rPr>
                <w:rFonts w:ascii="Times New Roman" w:eastAsia="Times New Roman" w:hAnsi="Times New Roman" w:cs="Times New Roman"/>
                <w:b/>
                <w:bCs/>
                <w:sz w:val="20"/>
                <w:szCs w:val="20"/>
              </w:rPr>
              <w:t>DANE DEWELOPERA</w:t>
            </w:r>
          </w:p>
          <w:p w:rsidR="00EA1C22" w:rsidRPr="00EA1C22" w:rsidRDefault="00EA1C22" w:rsidP="00DE3592">
            <w:pPr>
              <w:spacing w:beforeLines="60" w:afterLines="60" w:line="240" w:lineRule="auto"/>
              <w:jc w:val="both"/>
              <w:rPr>
                <w:rFonts w:ascii="Times New Roman" w:eastAsia="Times New Roman" w:hAnsi="Times New Roman" w:cs="Times New Roman"/>
                <w:b/>
                <w:bCs/>
                <w:sz w:val="20"/>
                <w:szCs w:val="20"/>
              </w:rPr>
            </w:pPr>
          </w:p>
        </w:tc>
      </w:tr>
      <w:tr w:rsidR="00EA1C22" w:rsidRPr="00EA1C22" w:rsidTr="00E6102C">
        <w:trPr>
          <w:trHeight w:val="375"/>
        </w:trPr>
        <w:tc>
          <w:tcPr>
            <w:tcW w:w="2988" w:type="dxa"/>
            <w:shd w:val="clear" w:color="auto" w:fill="F3F3F3"/>
          </w:tcPr>
          <w:p w:rsidR="00EA1C22" w:rsidRPr="00EA1C22" w:rsidRDefault="00EA1C22" w:rsidP="00DE3592">
            <w:pPr>
              <w:spacing w:beforeLines="60" w:afterLines="60"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Deweloper</w:t>
            </w:r>
          </w:p>
        </w:tc>
        <w:tc>
          <w:tcPr>
            <w:tcW w:w="6660" w:type="dxa"/>
            <w:gridSpan w:val="2"/>
          </w:tcPr>
          <w:p w:rsidR="00EA1C22" w:rsidRPr="00EA1C22" w:rsidRDefault="00EA1C22" w:rsidP="00DE3592">
            <w:pPr>
              <w:spacing w:beforeLines="60" w:afterLines="60"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br/>
            </w:r>
            <w:r w:rsidR="00FA7679">
              <w:rPr>
                <w:rFonts w:ascii="Times New Roman" w:eastAsia="Times New Roman" w:hAnsi="Times New Roman" w:cs="Times New Roman"/>
                <w:sz w:val="20"/>
                <w:szCs w:val="20"/>
              </w:rPr>
              <w:t>Wiktor Bachorski</w:t>
            </w:r>
          </w:p>
        </w:tc>
      </w:tr>
      <w:tr w:rsidR="00EA1C22" w:rsidRPr="00EA1C22" w:rsidTr="00E6102C">
        <w:trPr>
          <w:trHeight w:val="1327"/>
        </w:trPr>
        <w:tc>
          <w:tcPr>
            <w:tcW w:w="2988" w:type="dxa"/>
            <w:shd w:val="clear" w:color="auto" w:fill="F3F3F3"/>
          </w:tcPr>
          <w:p w:rsidR="00EA1C22" w:rsidRPr="00EA1C22" w:rsidRDefault="00EA1C22" w:rsidP="00DE3592">
            <w:pPr>
              <w:spacing w:beforeLines="60" w:afterLines="60"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Adres </w:t>
            </w:r>
          </w:p>
        </w:tc>
        <w:tc>
          <w:tcPr>
            <w:tcW w:w="6660" w:type="dxa"/>
            <w:gridSpan w:val="2"/>
          </w:tcPr>
          <w:p w:rsidR="00EA1C22" w:rsidRPr="00EA1C22" w:rsidRDefault="00EA1C22" w:rsidP="00DE3592">
            <w:pPr>
              <w:spacing w:beforeLines="60" w:afterLines="60" w:line="240" w:lineRule="auto"/>
              <w:jc w:val="both"/>
              <w:rPr>
                <w:rFonts w:ascii="Times New Roman" w:eastAsia="Times New Roman" w:hAnsi="Times New Roman" w:cs="Times New Roman"/>
                <w:sz w:val="20"/>
                <w:szCs w:val="20"/>
              </w:rPr>
            </w:pPr>
          </w:p>
          <w:p w:rsidR="00FA7679" w:rsidRDefault="00FA7679" w:rsidP="00DE3592">
            <w:pPr>
              <w:spacing w:beforeLines="60" w:afterLines="6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Ul. Przygodna 4 </w:t>
            </w:r>
          </w:p>
          <w:p w:rsidR="00EA1C22" w:rsidRPr="00EA1C22" w:rsidRDefault="00FA7679" w:rsidP="00DE3592">
            <w:pPr>
              <w:spacing w:beforeLines="60" w:afterLines="6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70-896 Załom</w:t>
            </w:r>
          </w:p>
        </w:tc>
      </w:tr>
      <w:tr w:rsidR="00EA1C22" w:rsidRPr="00EA1C22" w:rsidTr="00E6102C">
        <w:trPr>
          <w:trHeight w:val="188"/>
        </w:trPr>
        <w:tc>
          <w:tcPr>
            <w:tcW w:w="2988" w:type="dxa"/>
            <w:shd w:val="clear" w:color="auto" w:fill="F3F3F3"/>
          </w:tcPr>
          <w:p w:rsidR="00EA1C22" w:rsidRPr="00EA1C22" w:rsidRDefault="00EA1C22" w:rsidP="00DE3592">
            <w:pPr>
              <w:spacing w:beforeLines="60" w:afterLines="60"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Numer NIP REGON</w:t>
            </w:r>
          </w:p>
        </w:tc>
        <w:tc>
          <w:tcPr>
            <w:tcW w:w="3240" w:type="dxa"/>
          </w:tcPr>
          <w:p w:rsidR="00EA1C22" w:rsidRPr="00EA1C22" w:rsidRDefault="00FA7679" w:rsidP="00DE3592">
            <w:pPr>
              <w:spacing w:beforeLines="60" w:afterLines="6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955 22 22 938</w:t>
            </w:r>
          </w:p>
        </w:tc>
        <w:tc>
          <w:tcPr>
            <w:tcW w:w="3420" w:type="dxa"/>
          </w:tcPr>
          <w:p w:rsidR="00EA1C22" w:rsidRPr="00EA1C22" w:rsidRDefault="00FA7679" w:rsidP="00DE3592">
            <w:pPr>
              <w:spacing w:beforeLines="60" w:afterLines="6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360895788</w:t>
            </w:r>
          </w:p>
        </w:tc>
      </w:tr>
      <w:tr w:rsidR="00EA1C22" w:rsidRPr="00EA1C22" w:rsidTr="00E6102C">
        <w:tc>
          <w:tcPr>
            <w:tcW w:w="2988" w:type="dxa"/>
            <w:shd w:val="clear" w:color="auto" w:fill="F3F3F3"/>
          </w:tcPr>
          <w:p w:rsidR="00EA1C22" w:rsidRPr="00EA1C22" w:rsidRDefault="00EA1C22" w:rsidP="00DE3592">
            <w:pPr>
              <w:spacing w:beforeLines="60" w:afterLines="60"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Numer telefonu</w:t>
            </w:r>
          </w:p>
        </w:tc>
        <w:tc>
          <w:tcPr>
            <w:tcW w:w="6660" w:type="dxa"/>
            <w:gridSpan w:val="2"/>
          </w:tcPr>
          <w:p w:rsidR="00EA1C22" w:rsidRPr="00EA1C22" w:rsidRDefault="00FA7679" w:rsidP="00DE3592">
            <w:pPr>
              <w:spacing w:beforeLines="60" w:afterLines="6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794440096</w:t>
            </w:r>
          </w:p>
        </w:tc>
      </w:tr>
      <w:tr w:rsidR="00EA1C22" w:rsidRPr="00EA1C22" w:rsidTr="00E6102C">
        <w:trPr>
          <w:trHeight w:val="272"/>
        </w:trPr>
        <w:tc>
          <w:tcPr>
            <w:tcW w:w="2988" w:type="dxa"/>
            <w:shd w:val="clear" w:color="auto" w:fill="F3F3F3"/>
          </w:tcPr>
          <w:p w:rsidR="00EA1C22" w:rsidRPr="00EA1C22" w:rsidRDefault="00EA1C22" w:rsidP="00DE3592">
            <w:pPr>
              <w:spacing w:beforeLines="60" w:afterLines="60"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Adres poczty elektronicznej</w:t>
            </w:r>
          </w:p>
        </w:tc>
        <w:tc>
          <w:tcPr>
            <w:tcW w:w="6660" w:type="dxa"/>
            <w:gridSpan w:val="2"/>
          </w:tcPr>
          <w:p w:rsidR="00EA1C22" w:rsidRPr="00EA1C22" w:rsidRDefault="00FA7679" w:rsidP="00DE3592">
            <w:pPr>
              <w:spacing w:beforeLines="60" w:afterLines="6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biuro@garden-service.pl</w:t>
            </w:r>
          </w:p>
        </w:tc>
      </w:tr>
      <w:tr w:rsidR="00EA1C22" w:rsidRPr="00EA1C22" w:rsidTr="00E6102C">
        <w:tc>
          <w:tcPr>
            <w:tcW w:w="2988" w:type="dxa"/>
            <w:shd w:val="clear" w:color="auto" w:fill="F3F3F3"/>
          </w:tcPr>
          <w:p w:rsidR="00EA1C22" w:rsidRPr="00EA1C22" w:rsidRDefault="00EA1C22" w:rsidP="00DE3592">
            <w:pPr>
              <w:spacing w:beforeLines="60" w:afterLines="60"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Numer faksu</w:t>
            </w:r>
          </w:p>
        </w:tc>
        <w:tc>
          <w:tcPr>
            <w:tcW w:w="6660" w:type="dxa"/>
            <w:gridSpan w:val="2"/>
          </w:tcPr>
          <w:p w:rsidR="00EA1C22" w:rsidRPr="00EA1C22" w:rsidRDefault="00EA1C22" w:rsidP="00DE3592">
            <w:pPr>
              <w:spacing w:beforeLines="60" w:afterLines="60" w:line="240" w:lineRule="auto"/>
              <w:jc w:val="both"/>
              <w:rPr>
                <w:rFonts w:ascii="Times New Roman" w:eastAsia="Times New Roman" w:hAnsi="Times New Roman" w:cs="Times New Roman"/>
                <w:sz w:val="20"/>
                <w:szCs w:val="20"/>
              </w:rPr>
            </w:pPr>
          </w:p>
        </w:tc>
      </w:tr>
      <w:tr w:rsidR="00EA1C22" w:rsidRPr="00EA1C22" w:rsidTr="00E6102C">
        <w:trPr>
          <w:trHeight w:val="218"/>
        </w:trPr>
        <w:tc>
          <w:tcPr>
            <w:tcW w:w="2988" w:type="dxa"/>
            <w:shd w:val="clear" w:color="auto" w:fill="F3F3F3"/>
          </w:tcPr>
          <w:p w:rsidR="00EA1C22" w:rsidRPr="00EA1C22" w:rsidRDefault="00EA1C22" w:rsidP="00DE3592">
            <w:pPr>
              <w:spacing w:beforeLines="60" w:afterLines="60"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Adres strony internetowej dewelopera</w:t>
            </w:r>
          </w:p>
        </w:tc>
        <w:tc>
          <w:tcPr>
            <w:tcW w:w="6660" w:type="dxa"/>
            <w:gridSpan w:val="2"/>
          </w:tcPr>
          <w:p w:rsidR="00EA1C22" w:rsidRPr="00EA1C22" w:rsidRDefault="00EA1C22" w:rsidP="00DE3592">
            <w:pPr>
              <w:spacing w:beforeLines="60" w:afterLines="60" w:line="240" w:lineRule="auto"/>
              <w:jc w:val="both"/>
              <w:rPr>
                <w:rFonts w:ascii="Times New Roman" w:eastAsia="Times New Roman" w:hAnsi="Times New Roman" w:cs="Times New Roman"/>
                <w:sz w:val="20"/>
                <w:szCs w:val="20"/>
              </w:rPr>
            </w:pPr>
          </w:p>
        </w:tc>
      </w:tr>
    </w:tbl>
    <w:p w:rsidR="00EA1C22" w:rsidRPr="00EA1C22" w:rsidRDefault="00EA1C22" w:rsidP="00921952">
      <w:pPr>
        <w:widowControl w:val="0"/>
        <w:numPr>
          <w:ilvl w:val="0"/>
          <w:numId w:val="1"/>
        </w:numPr>
        <w:autoSpaceDE w:val="0"/>
        <w:autoSpaceDN w:val="0"/>
        <w:adjustRightInd w:val="0"/>
        <w:spacing w:before="240" w:after="100" w:afterAutospacing="1" w:line="240" w:lineRule="auto"/>
        <w:ind w:left="1077"/>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DOŚWIADCZENIE DEWELOPERA</w:t>
      </w:r>
    </w:p>
    <w:tbl>
      <w:tblPr>
        <w:tblpPr w:leftFromText="141" w:rightFromText="141" w:vertAnchor="text" w:horzAnchor="margin" w:tblpY="55"/>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648"/>
      </w:tblGrid>
      <w:tr w:rsidR="00EA1C22" w:rsidRPr="00EA1C22" w:rsidTr="00E6102C">
        <w:trPr>
          <w:trHeight w:val="704"/>
        </w:trPr>
        <w:tc>
          <w:tcPr>
            <w:tcW w:w="9648" w:type="dxa"/>
            <w:tcBorders>
              <w:bottom w:val="single" w:sz="4" w:space="0" w:color="auto"/>
            </w:tcBorders>
            <w:shd w:val="clear" w:color="auto" w:fill="E0E0E0"/>
          </w:tcPr>
          <w:p w:rsidR="00EA1C22" w:rsidRPr="00EA1C22" w:rsidRDefault="00EA1C22" w:rsidP="00DE3592">
            <w:pPr>
              <w:spacing w:beforeLines="60" w:afterLines="60"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HISTORIA I UDOKUMENTOWANEDOŚWIADCZENIE DEWELOPERA</w:t>
            </w:r>
          </w:p>
        </w:tc>
      </w:tr>
    </w:tbl>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13"/>
        <w:gridCol w:w="6835"/>
      </w:tblGrid>
      <w:tr w:rsidR="00EA1C22" w:rsidRPr="00EA1C22" w:rsidTr="00E6102C">
        <w:tc>
          <w:tcPr>
            <w:tcW w:w="9648" w:type="dxa"/>
            <w:gridSpan w:val="2"/>
            <w:tcBorders>
              <w:bottom w:val="single" w:sz="4" w:space="0" w:color="auto"/>
            </w:tcBorders>
            <w:shd w:val="clear" w:color="auto" w:fill="E0E0E0"/>
          </w:tcPr>
          <w:p w:rsidR="00EA1C22" w:rsidRPr="00EA1C22" w:rsidRDefault="00EA1C22" w:rsidP="00DE3592">
            <w:pPr>
              <w:spacing w:beforeLines="60" w:afterLines="60"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PRZYKŁAD UKOŃCZONEGO PRZEDSIĘWZIĘCIA DEWELOPERSKIEGO (należy wskazać, o ile istnieją, trzy ukończone przedsięwzięcia deweloperskie, w</w:t>
            </w:r>
            <w:r w:rsidR="004A37EC">
              <w:rPr>
                <w:rFonts w:ascii="Times New Roman" w:eastAsia="Times New Roman" w:hAnsi="Times New Roman" w:cs="Times New Roman"/>
                <w:b/>
                <w:sz w:val="20"/>
                <w:szCs w:val="20"/>
              </w:rPr>
              <w:t xml:space="preserve"> </w:t>
            </w:r>
            <w:r w:rsidRPr="00EA1C22">
              <w:rPr>
                <w:rFonts w:ascii="Times New Roman" w:eastAsia="Times New Roman" w:hAnsi="Times New Roman" w:cs="Times New Roman"/>
                <w:b/>
                <w:sz w:val="20"/>
                <w:szCs w:val="20"/>
              </w:rPr>
              <w:t>tym</w:t>
            </w:r>
            <w:r w:rsidR="004A37EC">
              <w:rPr>
                <w:rFonts w:ascii="Times New Roman" w:eastAsia="Times New Roman" w:hAnsi="Times New Roman" w:cs="Times New Roman"/>
                <w:b/>
                <w:sz w:val="20"/>
                <w:szCs w:val="20"/>
              </w:rPr>
              <w:t xml:space="preserve"> </w:t>
            </w:r>
            <w:r w:rsidRPr="00EA1C22">
              <w:rPr>
                <w:rFonts w:ascii="Times New Roman" w:eastAsia="Times New Roman" w:hAnsi="Times New Roman" w:cs="Times New Roman"/>
                <w:b/>
                <w:sz w:val="20"/>
                <w:szCs w:val="20"/>
              </w:rPr>
              <w:t>ostatnie)</w:t>
            </w:r>
          </w:p>
        </w:tc>
      </w:tr>
      <w:tr w:rsidR="00EA1C22" w:rsidRPr="00EA1C22" w:rsidTr="00E6102C">
        <w:trPr>
          <w:trHeight w:val="135"/>
        </w:trPr>
        <w:tc>
          <w:tcPr>
            <w:tcW w:w="2813" w:type="dxa"/>
            <w:shd w:val="clear" w:color="auto" w:fill="F3F3F3"/>
          </w:tcPr>
          <w:p w:rsidR="00EA1C22" w:rsidRPr="00EA1C22" w:rsidRDefault="00EA1C22" w:rsidP="00DE3592">
            <w:pPr>
              <w:spacing w:beforeLines="60" w:afterLines="60"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Adres </w:t>
            </w:r>
          </w:p>
        </w:tc>
        <w:tc>
          <w:tcPr>
            <w:tcW w:w="6835" w:type="dxa"/>
          </w:tcPr>
          <w:p w:rsidR="00EA1C22" w:rsidRPr="00EA1C22" w:rsidRDefault="00FA7679" w:rsidP="00DE3592">
            <w:pPr>
              <w:spacing w:beforeLines="60" w:afterLines="6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Kliniska wielkie Ul. Pod Lasem 15 oraz 17</w:t>
            </w:r>
          </w:p>
        </w:tc>
      </w:tr>
      <w:tr w:rsidR="00EA1C22" w:rsidRPr="00EA1C22" w:rsidTr="00E6102C">
        <w:tc>
          <w:tcPr>
            <w:tcW w:w="2813" w:type="dxa"/>
            <w:shd w:val="clear" w:color="auto" w:fill="F3F3F3"/>
          </w:tcPr>
          <w:p w:rsidR="00EA1C22" w:rsidRPr="00EA1C22" w:rsidRDefault="00EA1C22" w:rsidP="00DE3592">
            <w:pPr>
              <w:spacing w:beforeLines="60" w:afterLines="60"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Data rozpoczęcia </w:t>
            </w:r>
          </w:p>
        </w:tc>
        <w:tc>
          <w:tcPr>
            <w:tcW w:w="6835" w:type="dxa"/>
          </w:tcPr>
          <w:p w:rsidR="00EA1C22" w:rsidRPr="00EA1C22" w:rsidRDefault="00D61C15" w:rsidP="00DE3592">
            <w:pPr>
              <w:spacing w:beforeLines="60" w:afterLines="6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12.11.2021r.</w:t>
            </w:r>
          </w:p>
        </w:tc>
      </w:tr>
      <w:tr w:rsidR="00EA1C22" w:rsidRPr="00EA1C22" w:rsidTr="00E6102C">
        <w:tc>
          <w:tcPr>
            <w:tcW w:w="2813" w:type="dxa"/>
            <w:shd w:val="clear" w:color="auto" w:fill="F3F3F3"/>
          </w:tcPr>
          <w:p w:rsidR="00EA1C22" w:rsidRPr="00EA1C22" w:rsidRDefault="00EA1C22" w:rsidP="00DE3592">
            <w:pPr>
              <w:spacing w:beforeLines="60" w:afterLines="60"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Data wydania decyzji o pozwoleniu na użytkowanie</w:t>
            </w:r>
          </w:p>
        </w:tc>
        <w:tc>
          <w:tcPr>
            <w:tcW w:w="6835" w:type="dxa"/>
          </w:tcPr>
          <w:p w:rsidR="00EA1C22" w:rsidRPr="00EA1C22" w:rsidRDefault="00D61C15" w:rsidP="00DE3592">
            <w:pPr>
              <w:spacing w:beforeLines="60" w:afterLines="6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30.05.2023r.</w:t>
            </w:r>
          </w:p>
        </w:tc>
      </w:tr>
      <w:tr w:rsidR="00EA1C22" w:rsidRPr="0068673E" w:rsidTr="00E6102C">
        <w:tc>
          <w:tcPr>
            <w:tcW w:w="9648" w:type="dxa"/>
            <w:gridSpan w:val="2"/>
            <w:tcBorders>
              <w:bottom w:val="single" w:sz="4" w:space="0" w:color="auto"/>
            </w:tcBorders>
            <w:shd w:val="clear" w:color="auto" w:fill="E0E0E0"/>
          </w:tcPr>
          <w:p w:rsidR="00EA1C22" w:rsidRPr="0068673E" w:rsidRDefault="00EA1C22" w:rsidP="00DE3592">
            <w:pPr>
              <w:spacing w:beforeLines="60" w:afterLines="60" w:line="240" w:lineRule="auto"/>
              <w:jc w:val="both"/>
              <w:rPr>
                <w:rFonts w:ascii="Times New Roman" w:eastAsia="Times New Roman" w:hAnsi="Times New Roman" w:cs="Times New Roman"/>
                <w:b/>
                <w:sz w:val="20"/>
                <w:szCs w:val="20"/>
              </w:rPr>
            </w:pPr>
            <w:r w:rsidRPr="0068673E">
              <w:rPr>
                <w:rFonts w:ascii="Times New Roman" w:eastAsia="Times New Roman" w:hAnsi="Times New Roman" w:cs="Times New Roman"/>
                <w:b/>
                <w:sz w:val="20"/>
                <w:szCs w:val="20"/>
              </w:rPr>
              <w:lastRenderedPageBreak/>
              <w:t>PRZYKŁAD INNEGO UKOŃCZONEGO PRZEDSIĘWZIĘCIA DEWELOPERSKIEGO</w:t>
            </w:r>
          </w:p>
          <w:p w:rsidR="00EA1C22" w:rsidRPr="0068673E" w:rsidRDefault="00EA1C22" w:rsidP="00DE3592">
            <w:pPr>
              <w:spacing w:beforeLines="60" w:afterLines="60" w:line="240" w:lineRule="auto"/>
              <w:jc w:val="both"/>
              <w:rPr>
                <w:rFonts w:ascii="Times New Roman" w:eastAsia="Times New Roman" w:hAnsi="Times New Roman" w:cs="Times New Roman"/>
                <w:b/>
                <w:sz w:val="20"/>
                <w:szCs w:val="20"/>
              </w:rPr>
            </w:pPr>
          </w:p>
        </w:tc>
      </w:tr>
      <w:tr w:rsidR="00EA1C22" w:rsidRPr="0068673E" w:rsidTr="00E6102C">
        <w:trPr>
          <w:trHeight w:val="135"/>
        </w:trPr>
        <w:tc>
          <w:tcPr>
            <w:tcW w:w="2813" w:type="dxa"/>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 xml:space="preserve">Adres </w:t>
            </w:r>
          </w:p>
        </w:tc>
        <w:tc>
          <w:tcPr>
            <w:tcW w:w="6835"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r>
      <w:tr w:rsidR="00EA1C22" w:rsidRPr="0068673E" w:rsidTr="00E6102C">
        <w:tc>
          <w:tcPr>
            <w:tcW w:w="2813" w:type="dxa"/>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 xml:space="preserve">Data rozpoczęcia </w:t>
            </w:r>
          </w:p>
        </w:tc>
        <w:tc>
          <w:tcPr>
            <w:tcW w:w="6835"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r>
      <w:tr w:rsidR="00EA1C22" w:rsidRPr="0068673E" w:rsidTr="00E6102C">
        <w:tc>
          <w:tcPr>
            <w:tcW w:w="2813" w:type="dxa"/>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Data wydania decyzji o pozwoleniu na użytkowanie</w:t>
            </w:r>
          </w:p>
        </w:tc>
        <w:tc>
          <w:tcPr>
            <w:tcW w:w="6835"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r>
      <w:tr w:rsidR="00EA1C22" w:rsidRPr="0068673E" w:rsidTr="00E6102C">
        <w:tc>
          <w:tcPr>
            <w:tcW w:w="9648" w:type="dxa"/>
            <w:gridSpan w:val="2"/>
            <w:tcBorders>
              <w:bottom w:val="single" w:sz="4" w:space="0" w:color="auto"/>
            </w:tcBorders>
            <w:shd w:val="clear" w:color="auto" w:fill="E0E0E0"/>
          </w:tcPr>
          <w:p w:rsidR="00EA1C22" w:rsidRPr="0068673E" w:rsidRDefault="00EA1C22" w:rsidP="00EA1C22">
            <w:pPr>
              <w:spacing w:before="100" w:beforeAutospacing="1" w:after="100" w:afterAutospacing="1" w:line="240" w:lineRule="auto"/>
              <w:jc w:val="both"/>
              <w:rPr>
                <w:rFonts w:ascii="Times New Roman" w:eastAsia="Times New Roman" w:hAnsi="Times New Roman" w:cs="Times New Roman"/>
                <w:b/>
                <w:sz w:val="20"/>
                <w:szCs w:val="20"/>
              </w:rPr>
            </w:pPr>
            <w:r w:rsidRPr="0068673E">
              <w:rPr>
                <w:rFonts w:ascii="Times New Roman" w:eastAsia="Times New Roman" w:hAnsi="Times New Roman" w:cs="Times New Roman"/>
                <w:b/>
                <w:sz w:val="20"/>
                <w:szCs w:val="20"/>
              </w:rPr>
              <w:t>PRZYKŁAD OSTATNIEGO UKOŃCZONEGO PRZEDSIĘWZIĘCIA DEWELOPERSKIEGO</w:t>
            </w:r>
          </w:p>
          <w:p w:rsidR="00EA1C22" w:rsidRPr="0068673E" w:rsidRDefault="00EA1C22" w:rsidP="00EA1C22">
            <w:pPr>
              <w:spacing w:before="100" w:beforeAutospacing="1" w:after="100" w:afterAutospacing="1" w:line="240" w:lineRule="auto"/>
              <w:jc w:val="both"/>
              <w:rPr>
                <w:rFonts w:ascii="Times New Roman" w:eastAsia="Times New Roman" w:hAnsi="Times New Roman" w:cs="Times New Roman"/>
                <w:b/>
                <w:sz w:val="20"/>
                <w:szCs w:val="20"/>
              </w:rPr>
            </w:pPr>
          </w:p>
        </w:tc>
      </w:tr>
      <w:tr w:rsidR="00EA1C22" w:rsidRPr="0068673E" w:rsidTr="00E6102C">
        <w:trPr>
          <w:trHeight w:val="135"/>
        </w:trPr>
        <w:tc>
          <w:tcPr>
            <w:tcW w:w="2813" w:type="dxa"/>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 xml:space="preserve">Adres </w:t>
            </w:r>
          </w:p>
        </w:tc>
        <w:tc>
          <w:tcPr>
            <w:tcW w:w="6835"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r>
      <w:tr w:rsidR="00EA1C22" w:rsidRPr="0068673E" w:rsidTr="00E6102C">
        <w:tc>
          <w:tcPr>
            <w:tcW w:w="2813" w:type="dxa"/>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 xml:space="preserve">Data rozpoczęcia </w:t>
            </w:r>
          </w:p>
        </w:tc>
        <w:tc>
          <w:tcPr>
            <w:tcW w:w="6835"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r>
      <w:tr w:rsidR="00EA1C22" w:rsidRPr="0068673E" w:rsidTr="00E6102C">
        <w:tc>
          <w:tcPr>
            <w:tcW w:w="2813" w:type="dxa"/>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Data wydania decyzji o pozwoleniu na użytkowanie</w:t>
            </w:r>
          </w:p>
        </w:tc>
        <w:tc>
          <w:tcPr>
            <w:tcW w:w="6835"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r>
    </w:tbl>
    <w:p w:rsidR="00EA1C22" w:rsidRPr="0068673E" w:rsidRDefault="00EA1C22" w:rsidP="00DE3592">
      <w:pPr>
        <w:spacing w:beforeLines="60" w:afterLines="60" w:line="240" w:lineRule="auto"/>
        <w:jc w:val="both"/>
        <w:rPr>
          <w:rFonts w:ascii="Times New Roman" w:eastAsia="Times New Roman" w:hAnsi="Times New Roman" w:cs="Times New Roman"/>
          <w:b/>
          <w:bCs/>
          <w:sz w:val="16"/>
          <w:szCs w:val="20"/>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840"/>
      </w:tblGrid>
      <w:tr w:rsidR="00EA1C22" w:rsidRPr="0068673E" w:rsidTr="00E6102C">
        <w:tc>
          <w:tcPr>
            <w:tcW w:w="2808" w:type="dxa"/>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b/>
                <w:sz w:val="20"/>
                <w:szCs w:val="20"/>
              </w:rPr>
            </w:pPr>
            <w:r w:rsidRPr="0068673E">
              <w:rPr>
                <w:rFonts w:ascii="Times New Roman" w:eastAsia="Times New Roman" w:hAnsi="Times New Roman" w:cs="Times New Roman"/>
                <w:sz w:val="20"/>
                <w:szCs w:val="20"/>
              </w:rPr>
              <w:t>Czy przeciwko deweloperowi prowadzono lub prowadzi się postępowania egzekucyjne na kwotę powyżej 100 000 zł</w:t>
            </w:r>
          </w:p>
        </w:tc>
        <w:tc>
          <w:tcPr>
            <w:tcW w:w="6840" w:type="dxa"/>
          </w:tcPr>
          <w:p w:rsidR="00EA1C22" w:rsidRPr="0068673E" w:rsidRDefault="00FA7679" w:rsidP="00DE3592">
            <w:pPr>
              <w:spacing w:beforeLines="60" w:afterLines="60" w:line="240" w:lineRule="auto"/>
              <w:jc w:val="both"/>
              <w:rPr>
                <w:rFonts w:ascii="Times New Roman" w:eastAsia="Times New Roman" w:hAnsi="Times New Roman" w:cs="Times New Roman"/>
                <w:b/>
                <w:sz w:val="20"/>
                <w:szCs w:val="20"/>
              </w:rPr>
            </w:pPr>
            <w:r w:rsidRPr="0068673E">
              <w:rPr>
                <w:rFonts w:ascii="Times New Roman" w:eastAsia="Times New Roman" w:hAnsi="Times New Roman" w:cs="Times New Roman"/>
                <w:b/>
                <w:sz w:val="20"/>
                <w:szCs w:val="20"/>
              </w:rPr>
              <w:t>nie</w:t>
            </w:r>
          </w:p>
        </w:tc>
      </w:tr>
    </w:tbl>
    <w:p w:rsidR="00EA1C22" w:rsidRPr="0068673E" w:rsidRDefault="00EA1C22" w:rsidP="00DE3592">
      <w:pPr>
        <w:spacing w:beforeLines="60" w:after="0" w:line="240" w:lineRule="auto"/>
        <w:jc w:val="both"/>
        <w:rPr>
          <w:rFonts w:ascii="Times New Roman" w:eastAsia="Times New Roman" w:hAnsi="Times New Roman" w:cs="Times New Roman"/>
          <w:b/>
          <w:bCs/>
          <w:sz w:val="16"/>
          <w:szCs w:val="20"/>
        </w:rPr>
      </w:pPr>
    </w:p>
    <w:p w:rsidR="00EA1C22" w:rsidRPr="0068673E" w:rsidRDefault="00EA1C22" w:rsidP="00921952">
      <w:pPr>
        <w:widowControl w:val="0"/>
        <w:numPr>
          <w:ilvl w:val="0"/>
          <w:numId w:val="2"/>
        </w:numPr>
        <w:autoSpaceDE w:val="0"/>
        <w:autoSpaceDN w:val="0"/>
        <w:adjustRightInd w:val="0"/>
        <w:spacing w:before="100" w:beforeAutospacing="1" w:after="120" w:line="240" w:lineRule="auto"/>
        <w:ind w:left="1077"/>
        <w:jc w:val="both"/>
        <w:rPr>
          <w:rFonts w:ascii="Times New Roman" w:eastAsia="Times New Roman" w:hAnsi="Times New Roman" w:cs="Times New Roman"/>
          <w:b/>
          <w:bCs/>
          <w:sz w:val="20"/>
          <w:szCs w:val="20"/>
        </w:rPr>
      </w:pPr>
      <w:r w:rsidRPr="0068673E">
        <w:rPr>
          <w:rFonts w:ascii="Times New Roman" w:eastAsia="Times New Roman" w:hAnsi="Times New Roman" w:cs="Times New Roman"/>
          <w:b/>
          <w:bCs/>
          <w:sz w:val="20"/>
          <w:szCs w:val="20"/>
        </w:rPr>
        <w:t>INFORMACJE DOTYCZĄCE NIERUCHOMOŚCI I PRZEDSIĘWZIĘCIA DEWELOPERSKIEGO</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10"/>
        <w:gridCol w:w="3252"/>
        <w:gridCol w:w="3586"/>
      </w:tblGrid>
      <w:tr w:rsidR="00EA1C22" w:rsidRPr="0068673E" w:rsidTr="00E6102C">
        <w:tc>
          <w:tcPr>
            <w:tcW w:w="9648" w:type="dxa"/>
            <w:gridSpan w:val="3"/>
            <w:tcBorders>
              <w:bottom w:val="single" w:sz="4" w:space="0" w:color="auto"/>
            </w:tcBorders>
            <w:shd w:val="clear" w:color="auto" w:fill="E0E0E0"/>
          </w:tcPr>
          <w:p w:rsidR="00EA1C22" w:rsidRPr="0068673E" w:rsidRDefault="00EA1C22" w:rsidP="00DE3592">
            <w:pPr>
              <w:spacing w:beforeLines="60" w:afterLines="60" w:line="240" w:lineRule="auto"/>
              <w:rPr>
                <w:rFonts w:ascii="Times New Roman" w:eastAsia="Times New Roman" w:hAnsi="Times New Roman" w:cs="Times New Roman"/>
                <w:b/>
                <w:sz w:val="20"/>
                <w:szCs w:val="20"/>
              </w:rPr>
            </w:pPr>
            <w:r w:rsidRPr="0068673E">
              <w:rPr>
                <w:rFonts w:ascii="Times New Roman" w:eastAsia="Times New Roman" w:hAnsi="Times New Roman" w:cs="Times New Roman"/>
                <w:b/>
                <w:sz w:val="20"/>
                <w:szCs w:val="20"/>
              </w:rPr>
              <w:t>INFORMACJE DOTYCZĄCE GRUNTU I ZAGOSPODAROWANIA PRZESTRZENNEGO TERENU</w:t>
            </w:r>
          </w:p>
          <w:p w:rsidR="00EA1C22" w:rsidRPr="0068673E" w:rsidRDefault="00EA1C22" w:rsidP="00DE3592">
            <w:pPr>
              <w:spacing w:beforeLines="60" w:afterLines="60" w:line="240" w:lineRule="auto"/>
              <w:jc w:val="both"/>
              <w:rPr>
                <w:rFonts w:ascii="Times New Roman" w:eastAsia="Times New Roman" w:hAnsi="Times New Roman" w:cs="Times New Roman"/>
                <w:b/>
                <w:sz w:val="20"/>
                <w:szCs w:val="20"/>
              </w:rPr>
            </w:pPr>
          </w:p>
        </w:tc>
      </w:tr>
      <w:tr w:rsidR="00EA1C22" w:rsidRPr="0068673E" w:rsidTr="00E6102C">
        <w:trPr>
          <w:trHeight w:val="135"/>
        </w:trPr>
        <w:tc>
          <w:tcPr>
            <w:tcW w:w="2810" w:type="dxa"/>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Adres i numer działki ewidencyjnej i obrębu</w:t>
            </w:r>
            <w:r w:rsidRPr="0068673E">
              <w:rPr>
                <w:rFonts w:ascii="Times New Roman" w:eastAsia="Times New Roman" w:hAnsi="Times New Roman" w:cs="Times New Roman"/>
                <w:sz w:val="20"/>
                <w:szCs w:val="20"/>
                <w:vertAlign w:val="superscript"/>
              </w:rPr>
              <w:footnoteReference w:customMarkFollows="1" w:id="2"/>
              <w:t>1)</w:t>
            </w:r>
          </w:p>
        </w:tc>
        <w:tc>
          <w:tcPr>
            <w:tcW w:w="6838" w:type="dxa"/>
            <w:gridSpan w:val="2"/>
          </w:tcPr>
          <w:p w:rsidR="00EA1C22" w:rsidRPr="0068673E" w:rsidRDefault="00FA767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Szczecin Ul. Zapiecek 20 dz. Nr 101 obręb 4114</w:t>
            </w:r>
          </w:p>
        </w:tc>
      </w:tr>
      <w:tr w:rsidR="00EA1C22" w:rsidRPr="0068673E" w:rsidTr="00E6102C">
        <w:trPr>
          <w:trHeight w:val="98"/>
        </w:trPr>
        <w:tc>
          <w:tcPr>
            <w:tcW w:w="2810" w:type="dxa"/>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 xml:space="preserve">Numer księgi wieczystej </w:t>
            </w:r>
          </w:p>
        </w:tc>
        <w:tc>
          <w:tcPr>
            <w:tcW w:w="6838" w:type="dxa"/>
            <w:gridSpan w:val="2"/>
          </w:tcPr>
          <w:p w:rsidR="00EA1C22" w:rsidRPr="0068673E" w:rsidRDefault="00FA767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KW Nr SZ1S/00106084/7</w:t>
            </w:r>
          </w:p>
        </w:tc>
      </w:tr>
      <w:tr w:rsidR="00EA1C22" w:rsidRPr="0068673E" w:rsidTr="00E6102C">
        <w:trPr>
          <w:trHeight w:val="98"/>
        </w:trPr>
        <w:tc>
          <w:tcPr>
            <w:tcW w:w="2810" w:type="dxa"/>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Istniejące obciążenia hipoteczne nieruchomości lub wnioski o wpis w dziale czwartym księgi wieczystej</w:t>
            </w:r>
          </w:p>
        </w:tc>
        <w:tc>
          <w:tcPr>
            <w:tcW w:w="6838" w:type="dxa"/>
            <w:gridSpan w:val="2"/>
          </w:tcPr>
          <w:p w:rsidR="00EA1C22" w:rsidRPr="0068673E" w:rsidRDefault="004C560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 OBCIĄŻEŃ</w:t>
            </w:r>
          </w:p>
        </w:tc>
      </w:tr>
      <w:tr w:rsidR="00EA1C22" w:rsidRPr="0068673E" w:rsidTr="00E6102C">
        <w:trPr>
          <w:trHeight w:val="97"/>
        </w:trPr>
        <w:tc>
          <w:tcPr>
            <w:tcW w:w="2810" w:type="dxa"/>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W przypadku braku księgi wieczystej informacja o powierzchni działki i stanie prawnym nieruchomości</w:t>
            </w:r>
            <w:r w:rsidRPr="0068673E">
              <w:rPr>
                <w:rFonts w:ascii="Times New Roman" w:eastAsia="Times New Roman" w:hAnsi="Times New Roman" w:cs="Times New Roman"/>
                <w:sz w:val="20"/>
                <w:szCs w:val="20"/>
                <w:vertAlign w:val="superscript"/>
              </w:rPr>
              <w:footnoteReference w:customMarkFollows="1" w:id="3"/>
              <w:t>2)</w:t>
            </w:r>
          </w:p>
        </w:tc>
        <w:tc>
          <w:tcPr>
            <w:tcW w:w="6838" w:type="dxa"/>
            <w:gridSpan w:val="2"/>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p w:rsidR="00FA7679" w:rsidRPr="0068673E" w:rsidRDefault="00FA767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0,0795ha</w:t>
            </w:r>
          </w:p>
        </w:tc>
      </w:tr>
      <w:tr w:rsidR="00EA1C22" w:rsidRPr="0068673E" w:rsidTr="00322942">
        <w:trPr>
          <w:trHeight w:val="1559"/>
        </w:trPr>
        <w:tc>
          <w:tcPr>
            <w:tcW w:w="2810" w:type="dxa"/>
            <w:shd w:val="clear" w:color="auto" w:fill="F3F3F3"/>
          </w:tcPr>
          <w:p w:rsidR="00EA1C22" w:rsidRPr="0068673E" w:rsidRDefault="00EA1C22" w:rsidP="00DE3592">
            <w:pPr>
              <w:spacing w:beforeLines="60" w:afterLines="60" w:line="240" w:lineRule="auto"/>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lastRenderedPageBreak/>
              <w:t>Informacje dotyczące obiektów istniejących położonych w sąsiedztwie inwestycji i wpływających na warunki życia</w:t>
            </w:r>
            <w:r w:rsidRPr="0068673E">
              <w:rPr>
                <w:rFonts w:ascii="Times New Roman" w:eastAsia="Times New Roman" w:hAnsi="Times New Roman" w:cs="Times New Roman"/>
                <w:sz w:val="20"/>
                <w:szCs w:val="20"/>
                <w:vertAlign w:val="superscript"/>
              </w:rPr>
              <w:footnoteReference w:customMarkFollows="1" w:id="4"/>
              <w:t>3)</w:t>
            </w:r>
          </w:p>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6838" w:type="dxa"/>
            <w:gridSpan w:val="2"/>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p w:rsidR="00EA1C22" w:rsidRPr="0068673E" w:rsidRDefault="00FA767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 uciążliwości, działka jest usytuowana w otulinie parku.</w:t>
            </w:r>
            <w:r w:rsidR="00E6102C" w:rsidRPr="0068673E">
              <w:rPr>
                <w:rFonts w:ascii="Times New Roman" w:eastAsia="Times New Roman" w:hAnsi="Times New Roman" w:cs="Times New Roman"/>
                <w:sz w:val="20"/>
                <w:szCs w:val="20"/>
              </w:rPr>
              <w:t xml:space="preserve"> W odległości 150m od ulicy Radosnej.</w:t>
            </w:r>
          </w:p>
        </w:tc>
      </w:tr>
      <w:tr w:rsidR="00EA1C22" w:rsidRPr="0068673E" w:rsidTr="00322942">
        <w:trPr>
          <w:trHeight w:val="320"/>
        </w:trPr>
        <w:tc>
          <w:tcPr>
            <w:tcW w:w="2810" w:type="dxa"/>
            <w:vMerge w:val="restart"/>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lang w:eastAsia="pl-PL"/>
              </w:rPr>
            </w:pPr>
            <w:r w:rsidRPr="0068673E">
              <w:rPr>
                <w:rFonts w:ascii="Times New Roman" w:eastAsia="Times New Roman" w:hAnsi="Times New Roman" w:cs="Times New Roman"/>
                <w:sz w:val="20"/>
                <w:szCs w:val="20"/>
                <w:lang w:eastAsia="pl-PL"/>
              </w:rPr>
              <w:t>Akty planowania przestrzennego i inne akty prawne na podstawie przepisów odrębnych na terenie objętym przedsięwzięciem deweloperskim lub zadaniem inwestycyjnym</w:t>
            </w:r>
          </w:p>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Ramowe studium uwarunkowań i kierunków zagospodarowania przestrzennego związku metropolitalnego</w:t>
            </w:r>
          </w:p>
        </w:tc>
        <w:tc>
          <w:tcPr>
            <w:tcW w:w="3586" w:type="dxa"/>
            <w:vMerge w:val="restart"/>
          </w:tcPr>
          <w:p w:rsidR="00EA1C22" w:rsidRPr="0068673E" w:rsidRDefault="00D36545" w:rsidP="00DE3592">
            <w:pPr>
              <w:spacing w:beforeLines="60" w:afterLines="60" w:line="240" w:lineRule="auto"/>
              <w:jc w:val="both"/>
              <w:rPr>
                <w:rFonts w:ascii="Times New Roman" w:eastAsia="Times New Roman" w:hAnsi="Times New Roman" w:cs="Times New Roman"/>
                <w:sz w:val="20"/>
                <w:szCs w:val="20"/>
              </w:rPr>
            </w:pPr>
            <w:r w:rsidRPr="0068673E">
              <w:t>26 kwietnia 2022 r. (Uchwała Nr XXXIX/1061/22)</w:t>
            </w:r>
          </w:p>
        </w:tc>
      </w:tr>
      <w:tr w:rsidR="00EA1C22" w:rsidRPr="0068673E" w:rsidTr="00322942">
        <w:trPr>
          <w:trHeight w:val="317"/>
        </w:trPr>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Studium uwarunkowań i kierunków zagospodarowania przestrzennego gminy</w:t>
            </w:r>
            <w:r w:rsidR="00E6102C" w:rsidRPr="0068673E">
              <w:rPr>
                <w:rFonts w:ascii="Times New Roman" w:eastAsia="Times New Roman" w:hAnsi="Times New Roman" w:cs="Times New Roman"/>
                <w:sz w:val="20"/>
                <w:szCs w:val="20"/>
                <w:lang w:eastAsia="pl-PL"/>
              </w:rPr>
              <w:t xml:space="preserve">: </w:t>
            </w:r>
            <w:r w:rsidR="00E6102C" w:rsidRPr="0068673E">
              <w:t>26 kwietnia 2022 r. (Uchwała Nr XXXIX/1061/22)</w:t>
            </w:r>
          </w:p>
        </w:tc>
        <w:tc>
          <w:tcPr>
            <w:tcW w:w="3586" w:type="dxa"/>
            <w:vMerge/>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r>
      <w:tr w:rsidR="00EA1C22" w:rsidRPr="0068673E" w:rsidTr="00322942">
        <w:trPr>
          <w:trHeight w:val="317"/>
        </w:trPr>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Miejscowy plan zagospodarowania przestrzennego</w:t>
            </w:r>
            <w:r w:rsidR="00E6102C" w:rsidRPr="0068673E">
              <w:rPr>
                <w:rFonts w:ascii="Times New Roman" w:eastAsia="Times New Roman" w:hAnsi="Times New Roman" w:cs="Times New Roman"/>
                <w:sz w:val="20"/>
                <w:szCs w:val="20"/>
                <w:lang w:eastAsia="pl-PL"/>
              </w:rPr>
              <w:t xml:space="preserve"> brak</w:t>
            </w:r>
          </w:p>
        </w:tc>
        <w:tc>
          <w:tcPr>
            <w:tcW w:w="3586" w:type="dxa"/>
            <w:vMerge/>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r>
      <w:tr w:rsidR="00EA1C22" w:rsidRPr="0068673E" w:rsidTr="00322942">
        <w:trPr>
          <w:trHeight w:val="317"/>
        </w:trPr>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Miejscowy plan rewitalizacji</w:t>
            </w:r>
            <w:r w:rsidR="00E6102C" w:rsidRPr="0068673E">
              <w:rPr>
                <w:rFonts w:ascii="Times New Roman" w:eastAsia="Times New Roman" w:hAnsi="Times New Roman" w:cs="Times New Roman"/>
                <w:sz w:val="20"/>
                <w:szCs w:val="20"/>
                <w:lang w:eastAsia="pl-PL"/>
              </w:rPr>
              <w:t xml:space="preserve"> brak</w:t>
            </w:r>
          </w:p>
        </w:tc>
        <w:tc>
          <w:tcPr>
            <w:tcW w:w="3586" w:type="dxa"/>
            <w:vMerge/>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r>
      <w:tr w:rsidR="00EA1C22" w:rsidRPr="0068673E" w:rsidTr="00322942">
        <w:trPr>
          <w:trHeight w:val="317"/>
        </w:trPr>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 xml:space="preserve">Miejscowy plan odbudowy </w:t>
            </w:r>
            <w:r w:rsidR="00E6102C" w:rsidRPr="0068673E">
              <w:rPr>
                <w:rFonts w:ascii="Times New Roman" w:eastAsia="Times New Roman" w:hAnsi="Times New Roman" w:cs="Times New Roman"/>
                <w:sz w:val="20"/>
                <w:szCs w:val="20"/>
                <w:lang w:eastAsia="pl-PL"/>
              </w:rPr>
              <w:t xml:space="preserve"> brak</w:t>
            </w:r>
          </w:p>
        </w:tc>
        <w:tc>
          <w:tcPr>
            <w:tcW w:w="3586" w:type="dxa"/>
            <w:vMerge/>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r>
      <w:tr w:rsidR="00EA1C22" w:rsidRPr="0068673E" w:rsidTr="00322942">
        <w:trPr>
          <w:trHeight w:val="317"/>
        </w:trPr>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Inne</w:t>
            </w:r>
            <w:r w:rsidRPr="0068673E">
              <w:rPr>
                <w:rFonts w:ascii="Times New Roman" w:eastAsia="Times New Roman" w:hAnsi="Times New Roman" w:cs="Times New Roman"/>
                <w:sz w:val="20"/>
                <w:szCs w:val="20"/>
                <w:vertAlign w:val="superscript"/>
                <w:lang w:eastAsia="pl-PL"/>
              </w:rPr>
              <w:footnoteReference w:customMarkFollows="1" w:id="5"/>
              <w:t>4)</w:t>
            </w:r>
          </w:p>
        </w:tc>
        <w:tc>
          <w:tcPr>
            <w:tcW w:w="3586" w:type="dxa"/>
            <w:vMerge/>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r>
      <w:tr w:rsidR="00EA1C22" w:rsidRPr="0068673E" w:rsidTr="00322942">
        <w:trPr>
          <w:trHeight w:val="60"/>
        </w:trPr>
        <w:tc>
          <w:tcPr>
            <w:tcW w:w="2810" w:type="dxa"/>
            <w:vMerge w:val="restart"/>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Ustalenia obowiązującego miejscowego planu zagospodarowania przestrzennego dla terenu objętego przedsięwzięciem deweloperskim lub zadaniem inwestycyjnym</w:t>
            </w:r>
          </w:p>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Przeznaczenie terenu</w:t>
            </w:r>
          </w:p>
        </w:tc>
        <w:tc>
          <w:tcPr>
            <w:tcW w:w="3586" w:type="dxa"/>
          </w:tcPr>
          <w:p w:rsidR="00EA1C22" w:rsidRPr="0068673E" w:rsidRDefault="00D36545"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brak MPZP</w:t>
            </w:r>
          </w:p>
        </w:tc>
      </w:tr>
      <w:tr w:rsidR="00EA1C22" w:rsidRPr="0068673E" w:rsidTr="00322942">
        <w:trPr>
          <w:trHeight w:val="51"/>
        </w:trPr>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Maksymalna i minimalna intensywność zabudowy</w:t>
            </w:r>
          </w:p>
        </w:tc>
        <w:tc>
          <w:tcPr>
            <w:tcW w:w="3586" w:type="dxa"/>
          </w:tcPr>
          <w:p w:rsidR="00EA1C22" w:rsidRPr="0068673E" w:rsidRDefault="00D36545"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21-25%</w:t>
            </w:r>
          </w:p>
        </w:tc>
      </w:tr>
      <w:tr w:rsidR="00EA1C22" w:rsidRPr="0068673E" w:rsidTr="00322942">
        <w:trPr>
          <w:trHeight w:val="51"/>
        </w:trPr>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Maksymalna wysokość zabudowy</w:t>
            </w:r>
          </w:p>
        </w:tc>
        <w:tc>
          <w:tcPr>
            <w:tcW w:w="3586" w:type="dxa"/>
          </w:tcPr>
          <w:p w:rsidR="00EA1C22" w:rsidRPr="0068673E" w:rsidRDefault="00D36545"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9.0m</w:t>
            </w:r>
          </w:p>
        </w:tc>
      </w:tr>
      <w:tr w:rsidR="00EA1C22" w:rsidRPr="0068673E" w:rsidTr="00322942">
        <w:trPr>
          <w:trHeight w:val="51"/>
        </w:trPr>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Minimalny udział procentowy powierzchni biologicznie czynnej</w:t>
            </w:r>
          </w:p>
        </w:tc>
        <w:tc>
          <w:tcPr>
            <w:tcW w:w="3586" w:type="dxa"/>
          </w:tcPr>
          <w:p w:rsidR="00EA1C22" w:rsidRPr="0068673E" w:rsidRDefault="00D36545"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52%</w:t>
            </w:r>
          </w:p>
        </w:tc>
      </w:tr>
      <w:tr w:rsidR="00EA1C22" w:rsidRPr="0068673E" w:rsidTr="00322942">
        <w:trPr>
          <w:trHeight w:val="51"/>
        </w:trPr>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Minimalna liczba miejsc do parkowania</w:t>
            </w:r>
          </w:p>
        </w:tc>
        <w:tc>
          <w:tcPr>
            <w:tcW w:w="3586" w:type="dxa"/>
          </w:tcPr>
          <w:p w:rsidR="00EA1C22" w:rsidRPr="0068673E" w:rsidRDefault="00D36545"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3</w:t>
            </w:r>
          </w:p>
        </w:tc>
      </w:tr>
      <w:tr w:rsidR="00EA1C22" w:rsidRPr="0068673E" w:rsidTr="00322942">
        <w:trPr>
          <w:trHeight w:val="51"/>
        </w:trPr>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Warunki ochrony środowiska i zdrowia ludzi, przyrody i krajobrazu</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51"/>
        </w:trPr>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Wymagania dotyczące zabudowy i zagospodarowania terenu położonego na obszarach szczególnego zagrożenia powodzią</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51"/>
        </w:trPr>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Warunki ochrony dziedzictwa kulturowego i zabytków oraz dóbr kultury współczesnej</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51"/>
        </w:trPr>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Wymagania dotyczące ochrony innych terenów lub obiektów podlegających ochronie na podstawie przepisów odrębnych</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51"/>
        </w:trPr>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Warunki i szczegółowe zasady obsługi w zakresie komunikacji</w:t>
            </w:r>
          </w:p>
        </w:tc>
        <w:tc>
          <w:tcPr>
            <w:tcW w:w="3586" w:type="dxa"/>
          </w:tcPr>
          <w:p w:rsidR="00EA1C22" w:rsidRPr="0068673E" w:rsidRDefault="00827BA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Wjazd z drogi prywatnej ul. Zapiecek</w:t>
            </w:r>
          </w:p>
        </w:tc>
      </w:tr>
      <w:tr w:rsidR="00EA1C22" w:rsidRPr="0068673E" w:rsidTr="00322942">
        <w:trPr>
          <w:trHeight w:val="51"/>
        </w:trPr>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Warunki i szczegółowe zasady obsługi w zakresie infrastruktury technicznej</w:t>
            </w:r>
          </w:p>
        </w:tc>
        <w:tc>
          <w:tcPr>
            <w:tcW w:w="3586" w:type="dxa"/>
          </w:tcPr>
          <w:p w:rsidR="00EA1C22" w:rsidRPr="0068673E" w:rsidRDefault="00827BA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Zaopatrzenie w wodę oraz en. Elektryczną z sieci</w:t>
            </w:r>
          </w:p>
        </w:tc>
      </w:tr>
      <w:tr w:rsidR="00EA1C22" w:rsidRPr="0068673E" w:rsidTr="00322942">
        <w:trPr>
          <w:trHeight w:val="288"/>
        </w:trPr>
        <w:tc>
          <w:tcPr>
            <w:tcW w:w="2810" w:type="dxa"/>
            <w:vMerge w:val="restart"/>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Ustalenia obowiązującego miejscowego planu zagospodarowania przestrzennegodla działek lub ich fragmentów, znajdujących się w odległości do 100 m od granicy terenu objętego przedsięwzięciem deweloperskim lub zadaniem inwestycyjnym</w:t>
            </w:r>
            <w:r w:rsidRPr="0068673E">
              <w:rPr>
                <w:rFonts w:ascii="Times New Roman" w:eastAsia="Times New Roman" w:hAnsi="Times New Roman" w:cs="Times New Roman"/>
                <w:sz w:val="20"/>
                <w:szCs w:val="20"/>
                <w:vertAlign w:val="superscript"/>
                <w:lang w:eastAsia="pl-PL"/>
              </w:rPr>
              <w:footnoteReference w:customMarkFollows="1" w:id="6"/>
              <w:t>*</w:t>
            </w: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Przeznaczenie terenu</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Nie dotyczy</w:t>
            </w:r>
          </w:p>
        </w:tc>
      </w:tr>
      <w:tr w:rsidR="00EA1C22" w:rsidRPr="0068673E" w:rsidTr="00322942">
        <w:trPr>
          <w:trHeight w:val="288"/>
        </w:trPr>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Maksymalna i minimalna intensywność zabudowy</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Nie dotyczy</w:t>
            </w:r>
          </w:p>
        </w:tc>
      </w:tr>
      <w:tr w:rsidR="00EA1C22" w:rsidRPr="0068673E" w:rsidTr="00322942">
        <w:trPr>
          <w:trHeight w:val="288"/>
        </w:trPr>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Maksymalna wysokość zabudowy</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Nie dotyczy</w:t>
            </w:r>
          </w:p>
        </w:tc>
      </w:tr>
      <w:tr w:rsidR="00EA1C22" w:rsidRPr="0068673E" w:rsidTr="00322942">
        <w:trPr>
          <w:trHeight w:val="288"/>
        </w:trPr>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Minimalny udział procentowy powierzchni biologicznie czynnej</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Nie dotyczy</w:t>
            </w:r>
          </w:p>
        </w:tc>
      </w:tr>
      <w:tr w:rsidR="00EA1C22" w:rsidRPr="0068673E" w:rsidTr="00322942">
        <w:trPr>
          <w:trHeight w:val="288"/>
        </w:trPr>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Minimalna liczba miejsc do parkowania</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Nie dotyczy</w:t>
            </w:r>
          </w:p>
        </w:tc>
      </w:tr>
      <w:tr w:rsidR="00EA1C22" w:rsidRPr="0068673E" w:rsidTr="00322942">
        <w:trPr>
          <w:trHeight w:val="1687"/>
        </w:trPr>
        <w:tc>
          <w:tcPr>
            <w:tcW w:w="2810" w:type="dxa"/>
            <w:vMerge w:val="restart"/>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Ustalenia decyzji o warunkach zabudowy albo decyzji o ustaleniu lokalizacji inwestycji celu publicznego dla terenu objętego przedsięwzięciem deweloperskim lub zadaniem inwestycyjnym w przypadku braku miejscowego planu zagospodarowania przestrzennego</w:t>
            </w:r>
          </w:p>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Funkcja zabudowy i zagospodarowania terenu</w:t>
            </w:r>
          </w:p>
        </w:tc>
        <w:tc>
          <w:tcPr>
            <w:tcW w:w="3586" w:type="dxa"/>
          </w:tcPr>
          <w:p w:rsidR="00EA1C22" w:rsidRPr="0068673E" w:rsidRDefault="00EA1C22" w:rsidP="00DE3592">
            <w:pPr>
              <w:spacing w:beforeLines="60" w:afterLines="60" w:line="240" w:lineRule="auto"/>
              <w:jc w:val="both"/>
              <w:rPr>
                <w:rFonts w:ascii="Times New Roman" w:eastAsia="Univers-PL" w:hAnsi="Times New Roman" w:cs="Times New Roman"/>
                <w:sz w:val="20"/>
                <w:szCs w:val="20"/>
                <w:lang w:eastAsia="pl-PL"/>
              </w:rPr>
            </w:pPr>
          </w:p>
          <w:p w:rsidR="00EA1C22" w:rsidRPr="0068673E" w:rsidRDefault="00EA1C22" w:rsidP="00DE3592">
            <w:pPr>
              <w:spacing w:beforeLines="60" w:afterLines="60" w:line="240" w:lineRule="auto"/>
              <w:jc w:val="both"/>
              <w:rPr>
                <w:rFonts w:ascii="Times New Roman" w:eastAsia="Univers-PL" w:hAnsi="Times New Roman" w:cs="Times New Roman"/>
                <w:sz w:val="20"/>
                <w:szCs w:val="20"/>
                <w:lang w:eastAsia="pl-PL"/>
              </w:rPr>
            </w:pPr>
          </w:p>
          <w:p w:rsidR="00EA1C22" w:rsidRPr="0068673E" w:rsidRDefault="00D36545"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Univers-PL" w:hAnsi="Times New Roman" w:cs="Times New Roman"/>
                <w:sz w:val="20"/>
                <w:szCs w:val="20"/>
                <w:lang w:eastAsia="pl-PL"/>
              </w:rPr>
              <w:t>Funkcja mieszkaniowa</w:t>
            </w:r>
          </w:p>
        </w:tc>
      </w:tr>
      <w:tr w:rsidR="00EA1C22" w:rsidRPr="0068673E" w:rsidTr="00E6102C">
        <w:trPr>
          <w:trHeight w:val="18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6838" w:type="dxa"/>
            <w:gridSpan w:val="2"/>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Cechy zabudowy i zagospodarowania terenu:</w:t>
            </w:r>
          </w:p>
        </w:tc>
      </w:tr>
      <w:tr w:rsidR="00EA1C22" w:rsidRPr="0068673E" w:rsidTr="00322942">
        <w:trPr>
          <w:trHeight w:val="18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gabaryty</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Szerokośc elewacji frontowej 6,5-8,0m</w:t>
            </w:r>
          </w:p>
        </w:tc>
      </w:tr>
      <w:tr w:rsidR="00EA1C22" w:rsidRPr="0068673E" w:rsidTr="00322942">
        <w:trPr>
          <w:trHeight w:val="18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forma architektoniczna</w:t>
            </w:r>
          </w:p>
        </w:tc>
        <w:tc>
          <w:tcPr>
            <w:tcW w:w="3586" w:type="dxa"/>
          </w:tcPr>
          <w:p w:rsidR="00EA1C22" w:rsidRPr="0068673E" w:rsidRDefault="00E85EAE"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Budynek dwukondygnacyjny</w:t>
            </w:r>
          </w:p>
        </w:tc>
      </w:tr>
      <w:tr w:rsidR="00EA1C22" w:rsidRPr="0068673E" w:rsidTr="00322942">
        <w:trPr>
          <w:trHeight w:val="18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usytuowanie linii zabudowy</w:t>
            </w:r>
          </w:p>
        </w:tc>
        <w:tc>
          <w:tcPr>
            <w:tcW w:w="3586" w:type="dxa"/>
          </w:tcPr>
          <w:p w:rsidR="00EA1C22" w:rsidRPr="0068673E" w:rsidRDefault="00E85EAE"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Nieprzekraczalna linia zabudowy 6m</w:t>
            </w:r>
          </w:p>
        </w:tc>
      </w:tr>
      <w:tr w:rsidR="00EA1C22" w:rsidRPr="0068673E" w:rsidTr="00322942">
        <w:trPr>
          <w:trHeight w:val="18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intensywność wykorzystania terenu</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21-25%</w:t>
            </w:r>
          </w:p>
        </w:tc>
      </w:tr>
      <w:tr w:rsidR="00EA1C22" w:rsidRPr="0068673E" w:rsidTr="00322942">
        <w:trPr>
          <w:trHeight w:val="18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 xml:space="preserve">warunki ochrony środowiska i </w:t>
            </w:r>
            <w:r w:rsidRPr="0068673E">
              <w:rPr>
                <w:rFonts w:ascii="Times New Roman" w:eastAsia="Times New Roman" w:hAnsi="Times New Roman" w:cs="Times New Roman"/>
                <w:sz w:val="20"/>
                <w:szCs w:val="20"/>
                <w:lang w:eastAsia="pl-PL"/>
              </w:rPr>
              <w:lastRenderedPageBreak/>
              <w:t>zdrowia ludzi, przyrody i krajobrazu</w:t>
            </w:r>
          </w:p>
        </w:tc>
        <w:tc>
          <w:tcPr>
            <w:tcW w:w="3586" w:type="dxa"/>
          </w:tcPr>
          <w:p w:rsidR="00874DC9"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lastRenderedPageBreak/>
              <w:t>Brak</w:t>
            </w:r>
          </w:p>
        </w:tc>
      </w:tr>
      <w:tr w:rsidR="00EA1C22" w:rsidRPr="0068673E" w:rsidTr="00322942">
        <w:trPr>
          <w:trHeight w:val="18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wymagania dotyczące zabudowy i zagospodarowania terenu położonego na obszarach szczególnego zagrożenia powodzią</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18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warunki ochrony dziedzictwa kulturowego i zabytków oraz dóbr kultury współczesnej</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18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wymagania dotyczące ochrony innych terenów lub obiektów podlegających ochronie na podstawie przepisów odrębnych</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18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warunki i szczegółowe zasady obsługi w zakresie komunikacji</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18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warunki i szczegółowe zasady obsługi w zakresie infrastruktury technicznej</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73"/>
        </w:trPr>
        <w:tc>
          <w:tcPr>
            <w:tcW w:w="2810" w:type="dxa"/>
            <w:vMerge w:val="restart"/>
            <w:shd w:val="clear" w:color="auto" w:fill="F3F3F3"/>
          </w:tcPr>
          <w:p w:rsidR="00EA1C22" w:rsidRPr="0068673E" w:rsidRDefault="00EA1C22" w:rsidP="00DE3592">
            <w:pPr>
              <w:spacing w:beforeLines="60" w:afterLines="60" w:line="240" w:lineRule="auto"/>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 xml:space="preserve">Informacje dotyczące przewidzianych inwestycji w promieniu </w:t>
            </w:r>
            <w:smartTag w:uri="urn:schemas-microsoft-com:office:smarttags" w:element="metricconverter">
              <w:smartTagPr>
                <w:attr w:name="ProductID" w:val="1 km"/>
              </w:smartTagPr>
              <w:r w:rsidRPr="0068673E">
                <w:rPr>
                  <w:rFonts w:ascii="Times New Roman" w:eastAsia="Times New Roman" w:hAnsi="Times New Roman" w:cs="Times New Roman"/>
                  <w:sz w:val="20"/>
                  <w:szCs w:val="20"/>
                </w:rPr>
                <w:t>1 km</w:t>
              </w:r>
            </w:smartTag>
            <w:r w:rsidRPr="0068673E">
              <w:rPr>
                <w:rFonts w:ascii="Times New Roman" w:eastAsia="Times New Roman" w:hAnsi="Times New Roman" w:cs="Times New Roman"/>
                <w:sz w:val="20"/>
                <w:szCs w:val="20"/>
              </w:rPr>
              <w:t xml:space="preserve"> od przedmiotowej nieruchomości</w:t>
            </w:r>
            <w:r w:rsidRPr="0068673E">
              <w:rPr>
                <w:rFonts w:ascii="Times New Roman" w:eastAsia="Times New Roman" w:hAnsi="Times New Roman" w:cs="Times New Roman"/>
                <w:sz w:val="20"/>
                <w:szCs w:val="20"/>
                <w:vertAlign w:val="superscript"/>
              </w:rPr>
              <w:footnoteReference w:customMarkFollows="1" w:id="7"/>
              <w:t>5)</w:t>
            </w:r>
            <w:r w:rsidRPr="0068673E">
              <w:rPr>
                <w:rFonts w:ascii="Times New Roman" w:eastAsia="Times New Roman" w:hAnsi="Times New Roman" w:cs="Times New Roman"/>
                <w:sz w:val="20"/>
                <w:szCs w:val="20"/>
              </w:rPr>
              <w:t>, zawarte w:</w:t>
            </w:r>
          </w:p>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miejscowych planach zagospodarowania przestrzennego</w:t>
            </w:r>
          </w:p>
        </w:tc>
        <w:tc>
          <w:tcPr>
            <w:tcW w:w="3586" w:type="dxa"/>
          </w:tcPr>
          <w:p w:rsidR="00EA1C22" w:rsidRPr="0068673E" w:rsidRDefault="00E85EAE"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p w:rsidR="00E85EAE" w:rsidRPr="0068673E" w:rsidRDefault="00E85EAE" w:rsidP="00DE3592">
            <w:pPr>
              <w:spacing w:beforeLines="60" w:afterLines="60" w:line="240" w:lineRule="auto"/>
              <w:jc w:val="both"/>
              <w:rPr>
                <w:rFonts w:ascii="Times New Roman" w:eastAsia="Times New Roman" w:hAnsi="Times New Roman" w:cs="Times New Roman"/>
                <w:sz w:val="20"/>
                <w:szCs w:val="20"/>
              </w:rPr>
            </w:pPr>
          </w:p>
        </w:tc>
      </w:tr>
      <w:tr w:rsidR="00EA1C22" w:rsidRPr="0068673E" w:rsidTr="00322942">
        <w:trPr>
          <w:trHeight w:val="7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 xml:space="preserve">studium uwarunkowań i kierunków zagospodarowania przestrzennego gminy </w:t>
            </w:r>
          </w:p>
        </w:tc>
        <w:tc>
          <w:tcPr>
            <w:tcW w:w="3586" w:type="dxa"/>
          </w:tcPr>
          <w:p w:rsidR="00EA1C22" w:rsidRPr="0068673E" w:rsidRDefault="00E85EAE"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7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252" w:type="dxa"/>
          </w:tcPr>
          <w:p w:rsidR="00EA1C22" w:rsidRPr="0068673E" w:rsidRDefault="00EA1C22" w:rsidP="00EA1C22">
            <w:pPr>
              <w:widowControl w:val="0"/>
              <w:autoSpaceDE w:val="0"/>
              <w:autoSpaceDN w:val="0"/>
              <w:adjustRightInd w:val="0"/>
              <w:spacing w:after="0" w:line="360" w:lineRule="auto"/>
              <w:rPr>
                <w:rFonts w:ascii="Times New Roman" w:eastAsia="Times New Roman" w:hAnsi="Times New Roman" w:cs="Times New Roman"/>
                <w:sz w:val="20"/>
                <w:szCs w:val="20"/>
                <w:lang w:eastAsia="pl-PL"/>
              </w:rPr>
            </w:pPr>
            <w:r w:rsidRPr="0068673E">
              <w:rPr>
                <w:rFonts w:ascii="Times New Roman" w:eastAsia="Times New Roman" w:hAnsi="Times New Roman" w:cs="Times New Roman"/>
                <w:sz w:val="20"/>
                <w:szCs w:val="20"/>
                <w:lang w:eastAsia="pl-PL"/>
              </w:rPr>
              <w:t>decyzjach o warunkach zabudowy i zagospodarowania terenu</w:t>
            </w:r>
          </w:p>
        </w:tc>
        <w:tc>
          <w:tcPr>
            <w:tcW w:w="3586" w:type="dxa"/>
          </w:tcPr>
          <w:p w:rsidR="00EA1C22" w:rsidRPr="0068673E" w:rsidRDefault="00E85EAE"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7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decyzjach o środowiskowych uwarunkowaniach</w:t>
            </w:r>
          </w:p>
        </w:tc>
        <w:tc>
          <w:tcPr>
            <w:tcW w:w="3586" w:type="dxa"/>
          </w:tcPr>
          <w:p w:rsidR="00EA1C22" w:rsidRPr="0068673E" w:rsidRDefault="00E85EAE"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7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decyzjach o obszarach ograniczonego użytkowania</w:t>
            </w:r>
          </w:p>
        </w:tc>
        <w:tc>
          <w:tcPr>
            <w:tcW w:w="3586" w:type="dxa"/>
          </w:tcPr>
          <w:p w:rsidR="00EA1C22" w:rsidRPr="0068673E" w:rsidRDefault="00E85EAE"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7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miejscowych planach odbudowy</w:t>
            </w:r>
          </w:p>
        </w:tc>
        <w:tc>
          <w:tcPr>
            <w:tcW w:w="3586" w:type="dxa"/>
          </w:tcPr>
          <w:p w:rsidR="00EA1C22" w:rsidRPr="0068673E" w:rsidRDefault="00E85EAE"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7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mapach zagrożenia powodziowego i mapach ryzyka powodziowego</w:t>
            </w:r>
          </w:p>
        </w:tc>
        <w:tc>
          <w:tcPr>
            <w:tcW w:w="3586" w:type="dxa"/>
          </w:tcPr>
          <w:p w:rsidR="00EA1C22" w:rsidRPr="0068673E" w:rsidRDefault="00E85EAE"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E6102C">
        <w:trPr>
          <w:trHeight w:val="7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6838" w:type="dxa"/>
            <w:gridSpan w:val="2"/>
          </w:tcPr>
          <w:p w:rsidR="00EA1C22" w:rsidRPr="0068673E" w:rsidRDefault="00EA1C22" w:rsidP="0012739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pl-PL"/>
              </w:rPr>
            </w:pPr>
            <w:r w:rsidRPr="0068673E">
              <w:rPr>
                <w:rFonts w:ascii="Times New Roman" w:eastAsia="Times New Roman" w:hAnsi="Times New Roman" w:cs="Times New Roman"/>
                <w:sz w:val="20"/>
                <w:szCs w:val="20"/>
                <w:lang w:eastAsia="pl-PL"/>
              </w:rPr>
              <w:t>Ustalenia decyzji w zakresie rozmieszczenia inwestycji celu publicznego, mogące mieć znaczenie dla terenu objętego przedsięwzięciem deweloperskim lub zadaniem inwestycyjnym:</w:t>
            </w:r>
          </w:p>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EA1C22" w:rsidRPr="0068673E" w:rsidTr="00322942">
        <w:trPr>
          <w:trHeight w:val="84"/>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decyzja o zezwoleniu na realizację inwestycji drogowej</w:t>
            </w:r>
            <w:r w:rsidR="00874DC9" w:rsidRPr="0068673E">
              <w:rPr>
                <w:rFonts w:ascii="Times New Roman" w:eastAsia="Times New Roman" w:hAnsi="Times New Roman" w:cs="Times New Roman"/>
                <w:sz w:val="20"/>
                <w:szCs w:val="20"/>
              </w:rPr>
              <w:t xml:space="preserve"> Brak</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8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decyzja o ustaleniu lokalizacji linii kolejowej</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8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decyzja o zezwoleniu na realizację inwestycji w zakresie lotniska użytku publicznego</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8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decyzja o pozwoleniu na realizację inwestycji w zakresie budowli przeciwpowodziowych</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8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decyzja o ustaleniu lokalizacji inwestycji w zakresie budowy obiektu energetyki jądrowej</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8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decyzja o ustaleniu lokalizacji strategicznej inwestycji w zakresie sieci przesyłowej</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8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decyzja o ustaleniu lokalizacji regionalnej sieci szerokopasmowej</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8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 xml:space="preserve">decyzja o ustaleniu lokalizacji inwestycji w zakresie Centralnego Portu Komunikacyjnego </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8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decyzjao zezwoleniu na realizacjęinwestycji w zakresie infrastruktury dostępowej</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322942">
        <w:trPr>
          <w:trHeight w:val="81"/>
        </w:trPr>
        <w:tc>
          <w:tcPr>
            <w:tcW w:w="2810" w:type="dxa"/>
            <w:vMerge/>
            <w:shd w:val="clear" w:color="auto" w:fill="F3F3F3"/>
          </w:tcPr>
          <w:p w:rsidR="00EA1C22" w:rsidRPr="0068673E" w:rsidRDefault="00EA1C22" w:rsidP="00EA1C22">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lang w:eastAsia="pl-PL"/>
              </w:rPr>
            </w:pPr>
            <w:r w:rsidRPr="0068673E">
              <w:rPr>
                <w:rFonts w:ascii="Times New Roman" w:eastAsia="Times New Roman" w:hAnsi="Times New Roman" w:cs="Times New Roman"/>
                <w:sz w:val="20"/>
                <w:szCs w:val="20"/>
                <w:lang w:eastAsia="pl-PL"/>
              </w:rPr>
              <w:t>decyzja o ustaleniu lokalizacji strategicznej inwestycji w sektorze naftowym</w:t>
            </w:r>
          </w:p>
        </w:tc>
        <w:tc>
          <w:tcPr>
            <w:tcW w:w="3586" w:type="dxa"/>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Brak</w:t>
            </w:r>
          </w:p>
        </w:tc>
      </w:tr>
      <w:tr w:rsidR="00EA1C22" w:rsidRPr="0068673E" w:rsidTr="00E6102C">
        <w:trPr>
          <w:trHeight w:val="390"/>
        </w:trPr>
        <w:tc>
          <w:tcPr>
            <w:tcW w:w="9648" w:type="dxa"/>
            <w:gridSpan w:val="3"/>
            <w:shd w:val="clear" w:color="auto" w:fill="D9D9D9"/>
          </w:tcPr>
          <w:p w:rsidR="00EA1C22" w:rsidRPr="0068673E" w:rsidRDefault="00EA1C22" w:rsidP="00DE3592">
            <w:pPr>
              <w:spacing w:beforeLines="60" w:afterLines="60" w:line="240" w:lineRule="auto"/>
              <w:jc w:val="both"/>
              <w:rPr>
                <w:rFonts w:ascii="Times New Roman" w:eastAsia="Times New Roman" w:hAnsi="Times New Roman" w:cs="Times New Roman"/>
                <w:b/>
                <w:sz w:val="20"/>
                <w:szCs w:val="20"/>
              </w:rPr>
            </w:pPr>
            <w:r w:rsidRPr="0068673E">
              <w:rPr>
                <w:rFonts w:ascii="Times New Roman" w:eastAsia="Times New Roman" w:hAnsi="Times New Roman" w:cs="Times New Roman"/>
                <w:b/>
                <w:sz w:val="20"/>
                <w:szCs w:val="20"/>
              </w:rPr>
              <w:t>INFORMACJE DOTYCZĄCE BUDYNKU</w:t>
            </w:r>
          </w:p>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r>
      <w:tr w:rsidR="00EA1C22" w:rsidRPr="0068673E" w:rsidTr="00322942">
        <w:trPr>
          <w:trHeight w:val="390"/>
        </w:trPr>
        <w:tc>
          <w:tcPr>
            <w:tcW w:w="2810" w:type="dxa"/>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Czy jest pozwolenie na budowę</w:t>
            </w:r>
            <w:r w:rsidRPr="0068673E">
              <w:rPr>
                <w:rFonts w:ascii="Times New Roman" w:eastAsia="Times New Roman" w:hAnsi="Times New Roman" w:cs="Times New Roman"/>
                <w:sz w:val="20"/>
                <w:szCs w:val="20"/>
              </w:rPr>
              <w:br/>
            </w:r>
          </w:p>
        </w:tc>
        <w:tc>
          <w:tcPr>
            <w:tcW w:w="3252" w:type="dxa"/>
            <w:vAlign w:val="center"/>
          </w:tcPr>
          <w:p w:rsidR="00EA1C22" w:rsidRPr="0068673E" w:rsidRDefault="00EA1C22" w:rsidP="00DE3592">
            <w:pPr>
              <w:spacing w:beforeLines="60" w:afterLines="60" w:line="240" w:lineRule="auto"/>
              <w:jc w:val="center"/>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tak</w:t>
            </w:r>
            <w:r w:rsidRPr="0068673E">
              <w:rPr>
                <w:rFonts w:ascii="Times New Roman" w:eastAsia="Times New Roman" w:hAnsi="Times New Roman" w:cs="Times New Roman"/>
                <w:sz w:val="20"/>
                <w:szCs w:val="20"/>
                <w:vertAlign w:val="superscript"/>
              </w:rPr>
              <w:footnoteReference w:customMarkFollows="1" w:id="8"/>
              <w:t>*</w:t>
            </w:r>
          </w:p>
        </w:tc>
        <w:tc>
          <w:tcPr>
            <w:tcW w:w="3586" w:type="dxa"/>
            <w:vAlign w:val="center"/>
          </w:tcPr>
          <w:p w:rsidR="00EA1C22" w:rsidRPr="0068673E" w:rsidRDefault="00EA1C22" w:rsidP="00DE3592">
            <w:pPr>
              <w:spacing w:beforeLines="60" w:afterLines="60" w:line="240" w:lineRule="auto"/>
              <w:jc w:val="center"/>
              <w:rPr>
                <w:rFonts w:ascii="Times New Roman" w:eastAsia="Times New Roman" w:hAnsi="Times New Roman" w:cs="Times New Roman"/>
                <w:sz w:val="20"/>
                <w:szCs w:val="20"/>
              </w:rPr>
            </w:pPr>
          </w:p>
        </w:tc>
      </w:tr>
      <w:tr w:rsidR="00EA1C22" w:rsidRPr="0068673E" w:rsidTr="00322942">
        <w:trPr>
          <w:trHeight w:val="390"/>
        </w:trPr>
        <w:tc>
          <w:tcPr>
            <w:tcW w:w="2810" w:type="dxa"/>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Czy pozwolenie na budowę jest ostateczne</w:t>
            </w:r>
          </w:p>
        </w:tc>
        <w:tc>
          <w:tcPr>
            <w:tcW w:w="3252" w:type="dxa"/>
            <w:vAlign w:val="center"/>
          </w:tcPr>
          <w:p w:rsidR="00EA1C22" w:rsidRPr="0068673E" w:rsidRDefault="00EA1C22" w:rsidP="00DE3592">
            <w:pPr>
              <w:spacing w:beforeLines="60" w:afterLines="60" w:line="240" w:lineRule="auto"/>
              <w:jc w:val="center"/>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tak*</w:t>
            </w:r>
          </w:p>
        </w:tc>
        <w:tc>
          <w:tcPr>
            <w:tcW w:w="3586" w:type="dxa"/>
            <w:vAlign w:val="center"/>
          </w:tcPr>
          <w:p w:rsidR="00EA1C22" w:rsidRPr="0068673E" w:rsidRDefault="00EA1C22" w:rsidP="00DE3592">
            <w:pPr>
              <w:spacing w:beforeLines="60" w:afterLines="60" w:line="240" w:lineRule="auto"/>
              <w:jc w:val="center"/>
              <w:rPr>
                <w:rFonts w:ascii="Times New Roman" w:eastAsia="Times New Roman" w:hAnsi="Times New Roman" w:cs="Times New Roman"/>
                <w:sz w:val="20"/>
                <w:szCs w:val="20"/>
              </w:rPr>
            </w:pPr>
          </w:p>
        </w:tc>
      </w:tr>
      <w:tr w:rsidR="00EA1C22" w:rsidRPr="0068673E" w:rsidTr="00322942">
        <w:trPr>
          <w:trHeight w:val="390"/>
        </w:trPr>
        <w:tc>
          <w:tcPr>
            <w:tcW w:w="2810" w:type="dxa"/>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Czy pozwolenie na budowę jest zaskarżone</w:t>
            </w:r>
          </w:p>
        </w:tc>
        <w:tc>
          <w:tcPr>
            <w:tcW w:w="3252" w:type="dxa"/>
            <w:vAlign w:val="center"/>
          </w:tcPr>
          <w:p w:rsidR="00EA1C22" w:rsidRPr="0068673E" w:rsidRDefault="00EA1C22" w:rsidP="00DE3592">
            <w:pPr>
              <w:spacing w:beforeLines="60" w:afterLines="60" w:line="240" w:lineRule="auto"/>
              <w:jc w:val="center"/>
              <w:rPr>
                <w:rFonts w:ascii="Times New Roman" w:eastAsia="Times New Roman" w:hAnsi="Times New Roman" w:cs="Times New Roman"/>
                <w:sz w:val="20"/>
                <w:szCs w:val="20"/>
              </w:rPr>
            </w:pPr>
          </w:p>
        </w:tc>
        <w:tc>
          <w:tcPr>
            <w:tcW w:w="3586" w:type="dxa"/>
            <w:vAlign w:val="center"/>
          </w:tcPr>
          <w:p w:rsidR="00EA1C22" w:rsidRPr="0068673E" w:rsidRDefault="00EA1C22" w:rsidP="00DE3592">
            <w:pPr>
              <w:spacing w:beforeLines="60" w:afterLines="60" w:line="240" w:lineRule="auto"/>
              <w:jc w:val="center"/>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nie*</w:t>
            </w:r>
          </w:p>
        </w:tc>
      </w:tr>
      <w:tr w:rsidR="00EA1C22" w:rsidRPr="0068673E" w:rsidTr="00E6102C">
        <w:trPr>
          <w:trHeight w:val="195"/>
        </w:trPr>
        <w:tc>
          <w:tcPr>
            <w:tcW w:w="2810" w:type="dxa"/>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Numer pozwolenia na budowę oraz nazwa organu, który je wydał</w:t>
            </w:r>
          </w:p>
        </w:tc>
        <w:tc>
          <w:tcPr>
            <w:tcW w:w="6838" w:type="dxa"/>
            <w:gridSpan w:val="2"/>
          </w:tcPr>
          <w:p w:rsidR="00EA1C22" w:rsidRPr="0068673E" w:rsidRDefault="00E85EAE"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541/25 prezydent Miasta Szczecin</w:t>
            </w:r>
          </w:p>
        </w:tc>
      </w:tr>
      <w:tr w:rsidR="00EA1C22" w:rsidRPr="0068673E" w:rsidTr="00E6102C">
        <w:trPr>
          <w:trHeight w:val="195"/>
        </w:trPr>
        <w:tc>
          <w:tcPr>
            <w:tcW w:w="2810" w:type="dxa"/>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 xml:space="preserve">Data uprawomocnienia się decyzji o pozwoleniu na </w:t>
            </w:r>
            <w:r w:rsidRPr="0068673E">
              <w:rPr>
                <w:rFonts w:ascii="Times New Roman" w:eastAsia="Times New Roman" w:hAnsi="Times New Roman" w:cs="Times New Roman"/>
                <w:sz w:val="20"/>
                <w:szCs w:val="20"/>
              </w:rPr>
              <w:lastRenderedPageBreak/>
              <w:t>użytkowanie budynku</w:t>
            </w:r>
          </w:p>
        </w:tc>
        <w:tc>
          <w:tcPr>
            <w:tcW w:w="6838" w:type="dxa"/>
            <w:gridSpan w:val="2"/>
          </w:tcPr>
          <w:p w:rsidR="00EA1C22" w:rsidRPr="0068673E" w:rsidRDefault="0032294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lastRenderedPageBreak/>
              <w:t>23 wrzesień 2025 roku</w:t>
            </w:r>
          </w:p>
        </w:tc>
      </w:tr>
      <w:tr w:rsidR="00EA1C22" w:rsidRPr="0068673E" w:rsidTr="00E6102C">
        <w:trPr>
          <w:trHeight w:val="195"/>
        </w:trPr>
        <w:tc>
          <w:tcPr>
            <w:tcW w:w="2810" w:type="dxa"/>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lastRenderedPageBreak/>
              <w:t xml:space="preserve">Data zakończenia budowy domu jednorodzinnego </w:t>
            </w:r>
          </w:p>
        </w:tc>
        <w:tc>
          <w:tcPr>
            <w:tcW w:w="6838" w:type="dxa"/>
            <w:gridSpan w:val="2"/>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r>
      <w:tr w:rsidR="00EA1C22" w:rsidRPr="0068673E" w:rsidTr="00E6102C">
        <w:trPr>
          <w:trHeight w:val="195"/>
        </w:trPr>
        <w:tc>
          <w:tcPr>
            <w:tcW w:w="2810" w:type="dxa"/>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Planowany termin rozpoczęcia i zakończenia robót budowlanych</w:t>
            </w:r>
          </w:p>
        </w:tc>
        <w:tc>
          <w:tcPr>
            <w:tcW w:w="6838" w:type="dxa"/>
            <w:gridSpan w:val="2"/>
          </w:tcPr>
          <w:p w:rsidR="00322942" w:rsidRPr="0068673E" w:rsidRDefault="00322942" w:rsidP="00DE3592">
            <w:pPr>
              <w:spacing w:beforeLines="60" w:afterLines="60" w:line="240" w:lineRule="auto"/>
              <w:jc w:val="both"/>
              <w:rPr>
                <w:rFonts w:ascii="Times New Roman" w:eastAsia="Times New Roman" w:hAnsi="Times New Roman" w:cs="Times New Roman"/>
                <w:b/>
                <w:bCs/>
                <w:sz w:val="20"/>
                <w:szCs w:val="20"/>
              </w:rPr>
            </w:pPr>
            <w:r w:rsidRPr="0068673E">
              <w:rPr>
                <w:rFonts w:ascii="Times New Roman" w:eastAsia="Times New Roman" w:hAnsi="Times New Roman" w:cs="Times New Roman"/>
                <w:sz w:val="20"/>
                <w:szCs w:val="20"/>
              </w:rPr>
              <w:t xml:space="preserve">Prace budowlane rozpoczęły się </w:t>
            </w:r>
            <w:r w:rsidRPr="0068673E">
              <w:rPr>
                <w:rFonts w:ascii="Times New Roman" w:eastAsia="Times New Roman" w:hAnsi="Times New Roman" w:cs="Times New Roman"/>
                <w:b/>
                <w:bCs/>
                <w:sz w:val="20"/>
                <w:szCs w:val="20"/>
              </w:rPr>
              <w:t>….września 2025 roku</w:t>
            </w:r>
          </w:p>
          <w:p w:rsidR="00EA1C22" w:rsidRPr="0068673E" w:rsidRDefault="0032294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 xml:space="preserve">Planuje się zakończenie prac budowlanych do </w:t>
            </w:r>
            <w:r w:rsidRPr="0068673E">
              <w:rPr>
                <w:rFonts w:ascii="Times New Roman" w:eastAsia="Times New Roman" w:hAnsi="Times New Roman" w:cs="Times New Roman"/>
                <w:b/>
                <w:bCs/>
                <w:sz w:val="20"/>
                <w:szCs w:val="20"/>
              </w:rPr>
              <w:t>….</w:t>
            </w:r>
            <w:r w:rsidR="00DE3592">
              <w:rPr>
                <w:rFonts w:ascii="Times New Roman" w:eastAsia="Times New Roman" w:hAnsi="Times New Roman" w:cs="Times New Roman"/>
                <w:b/>
                <w:bCs/>
                <w:sz w:val="20"/>
                <w:szCs w:val="20"/>
              </w:rPr>
              <w:t>lipca</w:t>
            </w:r>
            <w:r w:rsidRPr="0068673E">
              <w:rPr>
                <w:rFonts w:ascii="Times New Roman" w:eastAsia="Times New Roman" w:hAnsi="Times New Roman" w:cs="Times New Roman"/>
                <w:b/>
                <w:bCs/>
                <w:sz w:val="20"/>
                <w:szCs w:val="20"/>
              </w:rPr>
              <w:t xml:space="preserve"> 2026 roku</w:t>
            </w:r>
          </w:p>
        </w:tc>
      </w:tr>
      <w:tr w:rsidR="00EA1C22" w:rsidRPr="0068673E" w:rsidTr="00322942">
        <w:trPr>
          <w:trHeight w:val="325"/>
        </w:trPr>
        <w:tc>
          <w:tcPr>
            <w:tcW w:w="2810" w:type="dxa"/>
            <w:vMerge w:val="restart"/>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p w:rsidR="00EA1C22" w:rsidRPr="0068673E" w:rsidRDefault="00EA1C22" w:rsidP="00DE3592">
            <w:pPr>
              <w:spacing w:beforeLines="60" w:afterLines="60" w:line="240" w:lineRule="auto"/>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Opis przedsięwzięcia deweloperskiego albo zadania inwestycyjnego</w:t>
            </w:r>
          </w:p>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 xml:space="preserve">Liczba budynków </w:t>
            </w:r>
          </w:p>
        </w:tc>
        <w:tc>
          <w:tcPr>
            <w:tcW w:w="3586" w:type="dxa"/>
          </w:tcPr>
          <w:p w:rsidR="00EA1C22" w:rsidRPr="0068673E" w:rsidRDefault="00E85EAE"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1</w:t>
            </w:r>
          </w:p>
        </w:tc>
      </w:tr>
      <w:tr w:rsidR="00EA1C22" w:rsidRPr="0068673E" w:rsidTr="00322942">
        <w:trPr>
          <w:trHeight w:val="325"/>
        </w:trPr>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Rozmieszczenie budynków na nieruchomości (należy podać minimalny odstęp między budynkami)</w:t>
            </w:r>
          </w:p>
        </w:tc>
        <w:tc>
          <w:tcPr>
            <w:tcW w:w="3586"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r>
      <w:tr w:rsidR="00EA1C22" w:rsidRPr="0068673E" w:rsidTr="00E6102C">
        <w:trPr>
          <w:trHeight w:val="488"/>
        </w:trPr>
        <w:tc>
          <w:tcPr>
            <w:tcW w:w="2810" w:type="dxa"/>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Sposób pomiaru powierzchni użytkowejlokalu mieszkalnego albo domu jednorodzinnego</w:t>
            </w:r>
          </w:p>
        </w:tc>
        <w:tc>
          <w:tcPr>
            <w:tcW w:w="6838" w:type="dxa"/>
            <w:gridSpan w:val="2"/>
          </w:tcPr>
          <w:p w:rsidR="00EA1C22" w:rsidRPr="0068673E" w:rsidRDefault="00D61C15" w:rsidP="00DE3592">
            <w:pPr>
              <w:spacing w:beforeLines="60" w:afterLines="60" w:line="240" w:lineRule="auto"/>
              <w:jc w:val="both"/>
              <w:rPr>
                <w:rFonts w:ascii="Times New Roman" w:eastAsia="Times New Roman" w:hAnsi="Times New Roman" w:cs="Times New Roman"/>
                <w:sz w:val="20"/>
                <w:szCs w:val="20"/>
              </w:rPr>
            </w:pPr>
            <w:r w:rsidRPr="0068673E">
              <w:t>PN-ISO-9836</w:t>
            </w:r>
          </w:p>
        </w:tc>
      </w:tr>
      <w:tr w:rsidR="00EA1C22" w:rsidRPr="0068673E" w:rsidTr="00322942">
        <w:tc>
          <w:tcPr>
            <w:tcW w:w="2810" w:type="dxa"/>
            <w:vMerge w:val="restart"/>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Zamierzony sposób i procentowy udział źródeł finansowania przedsięwzięcia deweloperskiego lub zadania inwestycyjnego</w:t>
            </w:r>
          </w:p>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Del="00E703EC"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Rodzaj posiadanych środków finansowych – kredyt, środki własne, inne</w:t>
            </w:r>
          </w:p>
        </w:tc>
        <w:tc>
          <w:tcPr>
            <w:tcW w:w="3586" w:type="dxa"/>
          </w:tcPr>
          <w:p w:rsidR="00322942" w:rsidRPr="0068673E" w:rsidRDefault="0032294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Deweloperzamierza zrealizować przedsięwzięcie deweloperskie ze środków własnych Spółki i/lub wpływów z tytułu sprzedaży poszczególnychproduktów wybudowanych w ramach realizowanego przedsięwzięcia.</w:t>
            </w:r>
          </w:p>
        </w:tc>
      </w:tr>
      <w:tr w:rsidR="00EA1C22" w:rsidRPr="0068673E" w:rsidTr="00322942">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W następujących instytucjach finansowych (wypełnia się w przypadku kredytu)</w:t>
            </w:r>
          </w:p>
        </w:tc>
        <w:tc>
          <w:tcPr>
            <w:tcW w:w="3586"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r>
      <w:tr w:rsidR="00EA1C22" w:rsidRPr="0068673E" w:rsidTr="00322942">
        <w:trPr>
          <w:trHeight w:val="1481"/>
        </w:trPr>
        <w:tc>
          <w:tcPr>
            <w:tcW w:w="2810" w:type="dxa"/>
            <w:vMerge w:val="restart"/>
            <w:shd w:val="clear" w:color="auto" w:fill="F3F3F3"/>
          </w:tcPr>
          <w:p w:rsidR="00EA1C22" w:rsidRPr="0068673E" w:rsidRDefault="00EA1C22" w:rsidP="00DE3592">
            <w:pPr>
              <w:spacing w:beforeLines="60" w:afterLines="60" w:line="240" w:lineRule="auto"/>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Środki ochrony nabywców</w:t>
            </w: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b/>
                <w:bCs/>
                <w:sz w:val="20"/>
                <w:szCs w:val="20"/>
              </w:rPr>
            </w:pPr>
            <w:r w:rsidRPr="0068673E">
              <w:rPr>
                <w:rFonts w:ascii="Times New Roman" w:eastAsia="Times New Roman" w:hAnsi="Times New Roman" w:cs="Times New Roman"/>
                <w:b/>
                <w:bCs/>
                <w:sz w:val="20"/>
                <w:szCs w:val="20"/>
              </w:rPr>
              <w:t>Otwarty mieszkaniowy rachunek powierniczy*</w:t>
            </w:r>
          </w:p>
        </w:tc>
        <w:tc>
          <w:tcPr>
            <w:tcW w:w="3586"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r>
      <w:tr w:rsidR="00EA1C22" w:rsidRPr="0068673E" w:rsidTr="00322942">
        <w:tc>
          <w:tcPr>
            <w:tcW w:w="2810" w:type="dxa"/>
            <w:vMerge/>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tc>
        <w:tc>
          <w:tcPr>
            <w:tcW w:w="3252" w:type="dxa"/>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Wysokość stawki procentowej, według której jest obliczana kwota składki na Deweloperski Fundusz Gwarancyjny</w:t>
            </w:r>
            <w:r w:rsidRPr="0068673E">
              <w:rPr>
                <w:rFonts w:ascii="Times New Roman" w:eastAsia="Times New Roman" w:hAnsi="Times New Roman" w:cs="Times New Roman"/>
                <w:sz w:val="20"/>
                <w:szCs w:val="20"/>
                <w:vertAlign w:val="superscript"/>
              </w:rPr>
              <w:footnoteReference w:customMarkFollows="1" w:id="9"/>
              <w:t>6)</w:t>
            </w:r>
          </w:p>
        </w:tc>
        <w:tc>
          <w:tcPr>
            <w:tcW w:w="3586" w:type="dxa"/>
          </w:tcPr>
          <w:p w:rsidR="00EA1C22" w:rsidRPr="0068673E" w:rsidRDefault="00E85EAE"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0,45%</w:t>
            </w:r>
          </w:p>
        </w:tc>
      </w:tr>
      <w:tr w:rsidR="00EA1C22" w:rsidRPr="0068673E" w:rsidTr="00E6102C">
        <w:tc>
          <w:tcPr>
            <w:tcW w:w="2810" w:type="dxa"/>
            <w:shd w:val="clear" w:color="auto" w:fill="F3F3F3"/>
          </w:tcPr>
          <w:p w:rsidR="00EA1C22" w:rsidRPr="0068673E" w:rsidRDefault="00EA1C22" w:rsidP="00DE3592">
            <w:pPr>
              <w:spacing w:beforeLines="60" w:afterLines="60" w:line="240" w:lineRule="auto"/>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Główne zasady funkcjonowania wybranego rodzaju zabezpieczenia środków nabywcy</w:t>
            </w:r>
          </w:p>
        </w:tc>
        <w:tc>
          <w:tcPr>
            <w:tcW w:w="6838" w:type="dxa"/>
            <w:gridSpan w:val="2"/>
          </w:tcPr>
          <w:p w:rsidR="00322942" w:rsidRPr="0068673E" w:rsidRDefault="00322942" w:rsidP="00322942">
            <w:pPr>
              <w:numPr>
                <w:ilvl w:val="0"/>
                <w:numId w:val="6"/>
              </w:numPr>
              <w:tabs>
                <w:tab w:val="num" w:pos="360"/>
              </w:tabs>
              <w:suppressAutoHyphens/>
              <w:spacing w:after="0" w:line="276" w:lineRule="auto"/>
              <w:ind w:left="360" w:hanging="283"/>
              <w:jc w:val="both"/>
              <w:rPr>
                <w:rFonts w:ascii="Montserrat" w:hAnsi="Montserrat"/>
                <w:sz w:val="16"/>
                <w:szCs w:val="16"/>
              </w:rPr>
            </w:pPr>
            <w:r w:rsidRPr="0068673E">
              <w:rPr>
                <w:rFonts w:ascii="Montserrat" w:hAnsi="Montserrat"/>
                <w:bCs/>
                <w:sz w:val="16"/>
                <w:szCs w:val="16"/>
              </w:rPr>
              <w:t xml:space="preserve">Deweloper zawrze z Bankiem umowę o prowadzenie otwartego mieszkaniowego rachunku powierniczego. </w:t>
            </w:r>
          </w:p>
          <w:p w:rsidR="00322942" w:rsidRPr="0068673E" w:rsidRDefault="00322942" w:rsidP="00322942">
            <w:pPr>
              <w:numPr>
                <w:ilvl w:val="0"/>
                <w:numId w:val="6"/>
              </w:numPr>
              <w:tabs>
                <w:tab w:val="num" w:pos="360"/>
              </w:tabs>
              <w:suppressAutoHyphens/>
              <w:spacing w:after="0" w:line="276" w:lineRule="auto"/>
              <w:ind w:left="360" w:hanging="283"/>
              <w:jc w:val="both"/>
              <w:rPr>
                <w:rFonts w:ascii="Montserrat" w:hAnsi="Montserrat"/>
                <w:sz w:val="16"/>
                <w:szCs w:val="16"/>
              </w:rPr>
            </w:pPr>
            <w:r w:rsidRPr="0068673E">
              <w:rPr>
                <w:rFonts w:ascii="Montserrat" w:hAnsi="Montserrat"/>
                <w:sz w:val="16"/>
                <w:szCs w:val="16"/>
              </w:rPr>
              <w:t xml:space="preserve">Koszty, opłaty i prowizje za prowadzenie otwartego mieszkaniowego rachunku powierniczego ponosi Deweloper. </w:t>
            </w:r>
          </w:p>
          <w:p w:rsidR="00322942" w:rsidRPr="0068673E" w:rsidRDefault="00322942" w:rsidP="00322942">
            <w:pPr>
              <w:numPr>
                <w:ilvl w:val="0"/>
                <w:numId w:val="6"/>
              </w:numPr>
              <w:tabs>
                <w:tab w:val="num" w:pos="360"/>
              </w:tabs>
              <w:suppressAutoHyphens/>
              <w:spacing w:after="0" w:line="276" w:lineRule="auto"/>
              <w:ind w:left="360" w:hanging="283"/>
              <w:jc w:val="both"/>
              <w:rPr>
                <w:rFonts w:ascii="Montserrat" w:hAnsi="Montserrat"/>
                <w:sz w:val="16"/>
                <w:szCs w:val="16"/>
              </w:rPr>
            </w:pPr>
            <w:r w:rsidRPr="0068673E">
              <w:rPr>
                <w:rFonts w:ascii="Montserrat" w:hAnsi="Montserrat"/>
                <w:sz w:val="16"/>
                <w:szCs w:val="16"/>
              </w:rPr>
              <w:t xml:space="preserve">Bank ewidencjonuje wpłaty i wypłaty odrębnie dla każdego nabywcy, a na żądanie Nabywcy podaje szczegółowe informacje dotyczące wpłat i wypłat dokonanych w wykonaniu Umowy, takie jak data oraz kwoty wpłat i wypłat. </w:t>
            </w:r>
          </w:p>
          <w:p w:rsidR="00322942" w:rsidRPr="0068673E" w:rsidRDefault="00322942" w:rsidP="00322942">
            <w:pPr>
              <w:numPr>
                <w:ilvl w:val="0"/>
                <w:numId w:val="6"/>
              </w:numPr>
              <w:tabs>
                <w:tab w:val="num" w:pos="360"/>
              </w:tabs>
              <w:suppressAutoHyphens/>
              <w:spacing w:after="0" w:line="276" w:lineRule="auto"/>
              <w:ind w:left="360" w:hanging="283"/>
              <w:jc w:val="both"/>
              <w:rPr>
                <w:rFonts w:ascii="Montserrat" w:hAnsi="Montserrat"/>
                <w:sz w:val="16"/>
                <w:szCs w:val="16"/>
              </w:rPr>
            </w:pPr>
            <w:r w:rsidRPr="0068673E">
              <w:rPr>
                <w:rFonts w:ascii="Montserrat" w:hAnsi="Montserrat"/>
                <w:sz w:val="16"/>
                <w:szCs w:val="16"/>
              </w:rPr>
              <w:t xml:space="preserve">Prawo wypowiedzenia umowy otwartego mieszkaniowego rachunku powierniczego przysługuje tylko Bankowi i tylko z ważnych powodów. </w:t>
            </w:r>
          </w:p>
          <w:p w:rsidR="00322942" w:rsidRPr="0068673E" w:rsidRDefault="00322942" w:rsidP="00322942">
            <w:pPr>
              <w:numPr>
                <w:ilvl w:val="0"/>
                <w:numId w:val="6"/>
              </w:numPr>
              <w:tabs>
                <w:tab w:val="num" w:pos="360"/>
              </w:tabs>
              <w:suppressAutoHyphens/>
              <w:spacing w:after="0" w:line="276" w:lineRule="auto"/>
              <w:ind w:left="360" w:hanging="283"/>
              <w:jc w:val="both"/>
              <w:rPr>
                <w:rFonts w:ascii="Montserrat" w:hAnsi="Montserrat"/>
                <w:sz w:val="16"/>
                <w:szCs w:val="16"/>
              </w:rPr>
            </w:pPr>
            <w:r w:rsidRPr="0068673E">
              <w:rPr>
                <w:rFonts w:ascii="Montserrat" w:hAnsi="Montserrat"/>
                <w:sz w:val="16"/>
                <w:szCs w:val="16"/>
              </w:rPr>
              <w:lastRenderedPageBreak/>
              <w:t>W przypadku wypowiedzenia umowy mieszkaniowego rachunku powierniczego Deweloper niezwłocznie zawiera z innym bankiem lub z inną kasą umowę mieszkaniowego rachunku powierniczego, jednak nie później niż w terminie 60 (sześćdziesięciu) dni od dnia wypowiedzenia tej umowy przez Bank, z zastrzeżeniem że przedmiotem zawieranej umowy jest prowadzenie takiego samego rodzaju mieszkaniowego rachunku powierniczego, jak w przypadku umowy, która została wypowiedziana.</w:t>
            </w:r>
          </w:p>
          <w:p w:rsidR="00322942" w:rsidRPr="0068673E" w:rsidRDefault="00322942" w:rsidP="00322942">
            <w:pPr>
              <w:numPr>
                <w:ilvl w:val="0"/>
                <w:numId w:val="6"/>
              </w:numPr>
              <w:tabs>
                <w:tab w:val="num" w:pos="360"/>
              </w:tabs>
              <w:suppressAutoHyphens/>
              <w:spacing w:after="0" w:line="276" w:lineRule="auto"/>
              <w:ind w:left="360" w:hanging="283"/>
              <w:jc w:val="both"/>
              <w:rPr>
                <w:rFonts w:ascii="Montserrat" w:hAnsi="Montserrat"/>
                <w:sz w:val="16"/>
                <w:szCs w:val="16"/>
              </w:rPr>
            </w:pPr>
            <w:r w:rsidRPr="0068673E">
              <w:rPr>
                <w:rFonts w:ascii="Montserrat" w:hAnsi="Montserrat"/>
                <w:sz w:val="16"/>
                <w:szCs w:val="16"/>
              </w:rPr>
              <w:t xml:space="preserve">Środki zgromadzone na likwidowanym mieszkaniowym rachunku powierniczym są niezwłocznie przekazywane przez Bank, w którym dotychczas prowadzono taki rachunek, na mieszkaniowy rachunek powierniczy otwarty przez Dewelopera w innym banku lub innej kasie, po przedstawieniu przez Dewelopera oświadczenia z tego banku lub z tej kasy potwierdzającego, że rachunek, na który mają być przekazane środki, jest mieszkaniowym rachunkiem powierniczym w rozumieniu Ustawy. </w:t>
            </w:r>
          </w:p>
          <w:p w:rsidR="00322942" w:rsidRPr="0068673E" w:rsidRDefault="00322942" w:rsidP="00322942">
            <w:pPr>
              <w:numPr>
                <w:ilvl w:val="0"/>
                <w:numId w:val="6"/>
              </w:numPr>
              <w:tabs>
                <w:tab w:val="num" w:pos="360"/>
              </w:tabs>
              <w:suppressAutoHyphens/>
              <w:spacing w:after="0" w:line="276" w:lineRule="auto"/>
              <w:ind w:left="360" w:hanging="283"/>
              <w:jc w:val="both"/>
              <w:rPr>
                <w:rFonts w:ascii="Montserrat" w:hAnsi="Montserrat"/>
                <w:sz w:val="16"/>
                <w:szCs w:val="16"/>
              </w:rPr>
            </w:pPr>
            <w:r w:rsidRPr="0068673E">
              <w:rPr>
                <w:rFonts w:ascii="Montserrat" w:hAnsi="Montserrat"/>
                <w:sz w:val="16"/>
                <w:szCs w:val="16"/>
              </w:rPr>
              <w:t>W przypadku gdy Deweloper nie przedstawi oświadczenia banku lub kasy, o którym mowa w ust. 6, w terminie 60 (sześćdziesięciu) dni od dnia wypowiedzenia umowy mieszkaniowego rachunku powierniczego, bank niezwłocznie zwraca nabywcom środki znajdujące się na tym rachunku.</w:t>
            </w:r>
          </w:p>
          <w:p w:rsidR="00322942" w:rsidRPr="0068673E" w:rsidRDefault="00322942" w:rsidP="00322942">
            <w:pPr>
              <w:numPr>
                <w:ilvl w:val="0"/>
                <w:numId w:val="6"/>
              </w:numPr>
              <w:tabs>
                <w:tab w:val="num" w:pos="360"/>
              </w:tabs>
              <w:suppressAutoHyphens/>
              <w:spacing w:after="0" w:line="276" w:lineRule="auto"/>
              <w:ind w:left="360" w:hanging="283"/>
              <w:jc w:val="both"/>
              <w:rPr>
                <w:rFonts w:ascii="Montserrat" w:hAnsi="Montserrat"/>
                <w:sz w:val="16"/>
                <w:szCs w:val="16"/>
              </w:rPr>
            </w:pPr>
            <w:r w:rsidRPr="0068673E">
              <w:rPr>
                <w:rFonts w:ascii="Montserrat" w:hAnsi="Montserrat"/>
                <w:sz w:val="16"/>
                <w:szCs w:val="16"/>
              </w:rPr>
              <w:t xml:space="preserve">Deweloper, w terminie 10 (dziesięciu) dni od dnia zawarcia umowy mieszkaniowego rachunku powierniczego w trybie, o którym mowa w ust. 5 powyżej, informuje Nabywcę na papierze lub innym Trwałym nośniku o dokonanej zmianie. </w:t>
            </w:r>
          </w:p>
          <w:p w:rsidR="00322942" w:rsidRPr="0068673E" w:rsidRDefault="00322942" w:rsidP="00322942">
            <w:pPr>
              <w:numPr>
                <w:ilvl w:val="0"/>
                <w:numId w:val="6"/>
              </w:numPr>
              <w:tabs>
                <w:tab w:val="num" w:pos="360"/>
              </w:tabs>
              <w:suppressAutoHyphens/>
              <w:spacing w:after="0" w:line="276" w:lineRule="auto"/>
              <w:ind w:left="360" w:hanging="283"/>
              <w:jc w:val="both"/>
              <w:rPr>
                <w:rFonts w:ascii="Montserrat" w:hAnsi="Montserrat"/>
                <w:sz w:val="16"/>
                <w:szCs w:val="16"/>
              </w:rPr>
            </w:pPr>
            <w:r w:rsidRPr="0068673E">
              <w:rPr>
                <w:rFonts w:ascii="Montserrat" w:hAnsi="Montserrat"/>
                <w:sz w:val="16"/>
                <w:szCs w:val="16"/>
              </w:rPr>
              <w:t xml:space="preserve">Nabywca może wstrzymać dokonywanie kolejnych wpłat na mieszkaniowy rachunek powierniczy do czasu wykonania przez Dewelopera obowiązku, o którym mowa w ust. 8. </w:t>
            </w:r>
          </w:p>
          <w:p w:rsidR="00322942" w:rsidRPr="0068673E" w:rsidRDefault="00322942" w:rsidP="00322942">
            <w:pPr>
              <w:numPr>
                <w:ilvl w:val="0"/>
                <w:numId w:val="6"/>
              </w:numPr>
              <w:tabs>
                <w:tab w:val="num" w:pos="360"/>
              </w:tabs>
              <w:suppressAutoHyphens/>
              <w:spacing w:after="0" w:line="276" w:lineRule="auto"/>
              <w:ind w:left="360" w:hanging="283"/>
              <w:jc w:val="both"/>
              <w:rPr>
                <w:rFonts w:ascii="Montserrat" w:hAnsi="Montserrat"/>
                <w:kern w:val="2"/>
                <w:sz w:val="16"/>
                <w:szCs w:val="16"/>
              </w:rPr>
            </w:pPr>
            <w:r w:rsidRPr="0068673E">
              <w:rPr>
                <w:rFonts w:ascii="Montserrat" w:hAnsi="Montserrat"/>
                <w:sz w:val="16"/>
                <w:szCs w:val="16"/>
              </w:rPr>
              <w:t xml:space="preserve">Deweloper, w terminie 30 (trzydziestu) dni od dnia podania do publicznej wiadomości informacji o spełnieniu warunku gwarancji w rozumieniu art. 2 pkt 57) lit. a, b lub c ustawy z dnia 10 czerwca 2016 r. o Bankowym Funduszu Gwarancyjnym, systemie gwarantowania depozytów oraz przymusowej restrukturyzacji wobec Banku prowadzącego mieszkaniowy rachunek powierniczy dla przedsięwzięcia deweloperskiego lub zadania inwestycyjnego tego dewelopera, zawiera umowę mieszkaniowego rachunku powierniczego z innym bankiem lub inną kasą. </w:t>
            </w:r>
          </w:p>
          <w:p w:rsidR="00322942" w:rsidRPr="0068673E" w:rsidRDefault="00322942" w:rsidP="00322942">
            <w:pPr>
              <w:numPr>
                <w:ilvl w:val="0"/>
                <w:numId w:val="6"/>
              </w:numPr>
              <w:tabs>
                <w:tab w:val="num" w:pos="360"/>
              </w:tabs>
              <w:suppressAutoHyphens/>
              <w:spacing w:after="0" w:line="276" w:lineRule="auto"/>
              <w:ind w:left="360" w:hanging="283"/>
              <w:jc w:val="both"/>
              <w:rPr>
                <w:rFonts w:ascii="Montserrat" w:hAnsi="Montserrat"/>
                <w:sz w:val="16"/>
                <w:szCs w:val="16"/>
              </w:rPr>
            </w:pPr>
            <w:r w:rsidRPr="0068673E">
              <w:rPr>
                <w:rFonts w:ascii="Montserrat" w:hAnsi="Montserrat"/>
                <w:sz w:val="16"/>
                <w:szCs w:val="16"/>
              </w:rPr>
              <w:t>W terminie 10 (dziesięciu) dni od dnia zawarcia umowy mieszkaniowego rachunku powierniczego z innym bankiem lub inną kasą, o której mowa w ust. 10 powyżej, Deweloper informuje Nabywcę na papierze lub innym Trwałym nośniku o dokonanej zmianie i przekazuje mu oświadczenie banku lub kasy, o którym mowa w ust. 6.</w:t>
            </w:r>
          </w:p>
          <w:p w:rsidR="00322942" w:rsidRPr="0068673E" w:rsidRDefault="00322942" w:rsidP="00322942">
            <w:pPr>
              <w:numPr>
                <w:ilvl w:val="0"/>
                <w:numId w:val="6"/>
              </w:numPr>
              <w:tabs>
                <w:tab w:val="num" w:pos="360"/>
              </w:tabs>
              <w:suppressAutoHyphens/>
              <w:spacing w:after="0" w:line="276" w:lineRule="auto"/>
              <w:ind w:left="360" w:hanging="283"/>
              <w:jc w:val="both"/>
              <w:rPr>
                <w:rFonts w:ascii="Montserrat" w:hAnsi="Montserrat"/>
                <w:sz w:val="16"/>
                <w:szCs w:val="16"/>
              </w:rPr>
            </w:pPr>
            <w:r w:rsidRPr="0068673E">
              <w:rPr>
                <w:rFonts w:ascii="Montserrat" w:hAnsi="Montserrat"/>
                <w:sz w:val="16"/>
                <w:szCs w:val="16"/>
              </w:rPr>
              <w:t xml:space="preserve">Deweloper ma prawo dysponować środkami wypłacanymi z otwartego mieszkaniowego rachunku powierniczego, wyłącznie w celu finansowania lub refinansowania Przedsięwzięcia deweloperskiego, dla którego prowadzony jest ten rachunek. </w:t>
            </w:r>
          </w:p>
          <w:p w:rsidR="00322942" w:rsidRPr="0068673E" w:rsidRDefault="00322942" w:rsidP="00322942">
            <w:pPr>
              <w:numPr>
                <w:ilvl w:val="0"/>
                <w:numId w:val="6"/>
              </w:numPr>
              <w:tabs>
                <w:tab w:val="num" w:pos="360"/>
              </w:tabs>
              <w:suppressAutoHyphens/>
              <w:spacing w:after="0" w:line="276" w:lineRule="auto"/>
              <w:ind w:left="360" w:hanging="283"/>
              <w:jc w:val="both"/>
              <w:rPr>
                <w:rFonts w:ascii="Montserrat" w:hAnsi="Montserrat"/>
                <w:sz w:val="16"/>
                <w:szCs w:val="16"/>
              </w:rPr>
            </w:pPr>
            <w:r w:rsidRPr="0068673E">
              <w:rPr>
                <w:rFonts w:ascii="Montserrat" w:hAnsi="Montserrat"/>
                <w:sz w:val="16"/>
                <w:szCs w:val="16"/>
              </w:rPr>
              <w:t xml:space="preserve">W związku z realizacją przez Dewelopera Umowy, Bank wypłaca Deweloperowi środki pieniężne wpłacone przez Nabywcę na Indywidualny Rachunek Nabywcy, nie wcześniej niż po 30 (trzydziestu) dniach od dnia zawarcia Umowy i po stwierdzeniu zakończenia danego etapu realizacji Przedsięwzięcia deweloperskiego, określonych w Harmonogramie. W przypadku zakończenia ostatniego etapu Przedsięwzięcia deweloperskiego, określonego w Harmonogramie, Bank wypłaca Deweloperowi pozostałe na otwartym mieszkaniowym rachunku powierniczym środki pieniężne wpłacone przez Nabywcę na poczet realizacji ostatniego etapu Przedsięwzięcia deweloperskiego, po otrzymaniu wypisu aktu notarialnego Umowy Przeniesienia własności Lokalu mieszkalnego, w stanie wolnym od obciążeń, praw i roszczeń osób trzecich, z wyjątkiem obciążeń, na które wyraził zgodę Nabywca. </w:t>
            </w:r>
          </w:p>
          <w:p w:rsidR="00322942" w:rsidRPr="0068673E" w:rsidRDefault="00322942" w:rsidP="00322942">
            <w:pPr>
              <w:numPr>
                <w:ilvl w:val="0"/>
                <w:numId w:val="6"/>
              </w:numPr>
              <w:tabs>
                <w:tab w:val="num" w:pos="360"/>
              </w:tabs>
              <w:suppressAutoHyphens/>
              <w:spacing w:after="0" w:line="276" w:lineRule="auto"/>
              <w:ind w:left="360" w:hanging="283"/>
              <w:jc w:val="both"/>
              <w:rPr>
                <w:rFonts w:ascii="Montserrat" w:hAnsi="Montserrat"/>
                <w:sz w:val="16"/>
                <w:szCs w:val="16"/>
              </w:rPr>
            </w:pPr>
            <w:r w:rsidRPr="0068673E">
              <w:rPr>
                <w:rFonts w:ascii="Montserrat" w:hAnsi="Montserrat"/>
                <w:sz w:val="16"/>
                <w:szCs w:val="16"/>
              </w:rPr>
              <w:t xml:space="preserve">Bank dokonuje kontroli zakończenia każdego z etapów Przedsięwzięcia deweloperskiego przed wypłatą środków pieniężnych, o których mowa w ust. 13. W trakcie kontroli Bank ma prawo wglądu do rachunków bankowych Dewelopera oraz kontroli dokumentacji w zakresie dotyczącym Przedsięwzięcia deweloperskiego. Sposób kontroli banku jest określony w art. 17 Ustawy; w przypadkach wskazanych w art. 17 ust. 7 Ustawy bank wstrzymuje wypłatę środków pieniężnych Deweloperowi i wyznacza mu termin na usunięcie nieprawidłowości, zaś po ich usunięciu, bank dokonuje wypłaty środków pieniężnych na rzecz Dewelopera. </w:t>
            </w:r>
          </w:p>
          <w:p w:rsidR="00322942" w:rsidRPr="0068673E" w:rsidRDefault="00322942" w:rsidP="00322942">
            <w:pPr>
              <w:numPr>
                <w:ilvl w:val="0"/>
                <w:numId w:val="6"/>
              </w:numPr>
              <w:tabs>
                <w:tab w:val="num" w:pos="360"/>
              </w:tabs>
              <w:suppressAutoHyphens/>
              <w:spacing w:after="0" w:line="276" w:lineRule="auto"/>
              <w:ind w:left="360" w:hanging="283"/>
              <w:jc w:val="both"/>
              <w:rPr>
                <w:rFonts w:ascii="Montserrat" w:hAnsi="Montserrat"/>
                <w:sz w:val="16"/>
                <w:szCs w:val="16"/>
              </w:rPr>
            </w:pPr>
            <w:r w:rsidRPr="0068673E">
              <w:rPr>
                <w:rFonts w:ascii="Montserrat" w:hAnsi="Montserrat"/>
                <w:sz w:val="16"/>
                <w:szCs w:val="16"/>
              </w:rPr>
              <w:t xml:space="preserve">W przypadku odstąpienia od Umowy na podstawie § 8 Umowy przez jedną ze Stron, Bank wypłaca </w:t>
            </w:r>
            <w:r w:rsidRPr="0068673E">
              <w:rPr>
                <w:rStyle w:val="Uwydatnienie"/>
                <w:rFonts w:ascii="Montserrat" w:hAnsi="Montserrat"/>
                <w:sz w:val="16"/>
                <w:szCs w:val="16"/>
              </w:rPr>
              <w:t xml:space="preserve">Nabywcy </w:t>
            </w:r>
            <w:r w:rsidRPr="0068673E">
              <w:rPr>
                <w:rFonts w:ascii="Montserrat" w:hAnsi="Montserrat"/>
                <w:sz w:val="16"/>
                <w:szCs w:val="16"/>
              </w:rPr>
              <w:t xml:space="preserve">przypadające mu środki pieniężne pozostałe na mieszkaniowym rachunku powierniczym w nominalnej wysokości, niezwłocznie po otrzymaniu oświadczenia o odstąpieniu od Umowy. </w:t>
            </w:r>
          </w:p>
          <w:p w:rsidR="00322942" w:rsidRPr="0068673E" w:rsidRDefault="00322942" w:rsidP="00322942">
            <w:pPr>
              <w:numPr>
                <w:ilvl w:val="0"/>
                <w:numId w:val="6"/>
              </w:numPr>
              <w:tabs>
                <w:tab w:val="num" w:pos="360"/>
              </w:tabs>
              <w:suppressAutoHyphens/>
              <w:spacing w:after="0" w:line="276" w:lineRule="auto"/>
              <w:ind w:left="360" w:hanging="283"/>
              <w:jc w:val="both"/>
              <w:rPr>
                <w:rFonts w:ascii="Montserrat" w:hAnsi="Montserrat"/>
                <w:sz w:val="16"/>
                <w:szCs w:val="16"/>
              </w:rPr>
            </w:pPr>
            <w:r w:rsidRPr="0068673E">
              <w:rPr>
                <w:rFonts w:ascii="Montserrat" w:hAnsi="Montserrat"/>
                <w:sz w:val="16"/>
                <w:szCs w:val="16"/>
              </w:rPr>
              <w:t xml:space="preserve">W przypadku rozwiązania umowy deweloperskiej, innego niż na podstawie § 8 Umowy, Strony przedstawią zgodne oświadczenia woli o sposobie podziału środków pieniężnych zgromadzonych przez Nabywcę na mieszkaniowym rachunku powierniczym. Bank wypłaca środki zgromadzone na mieszkaniowym rachunku powierniczym w nominalnej wysokości niezwłocznie po otrzymaniu oświadczeń, o których mowa w zdaniu pierwszym. </w:t>
            </w:r>
          </w:p>
          <w:p w:rsidR="00322942" w:rsidRPr="0068673E" w:rsidRDefault="00322942" w:rsidP="00322942">
            <w:pPr>
              <w:numPr>
                <w:ilvl w:val="0"/>
                <w:numId w:val="6"/>
              </w:numPr>
              <w:tabs>
                <w:tab w:val="num" w:pos="360"/>
              </w:tabs>
              <w:suppressAutoHyphens/>
              <w:spacing w:after="0" w:line="276" w:lineRule="auto"/>
              <w:ind w:left="360" w:hanging="283"/>
              <w:jc w:val="both"/>
              <w:rPr>
                <w:rFonts w:ascii="Montserrat" w:hAnsi="Montserrat"/>
                <w:b/>
                <w:sz w:val="16"/>
                <w:szCs w:val="16"/>
              </w:rPr>
            </w:pPr>
            <w:r w:rsidRPr="0068673E">
              <w:rPr>
                <w:rFonts w:ascii="Montserrat" w:hAnsi="Montserrat"/>
                <w:sz w:val="16"/>
                <w:szCs w:val="16"/>
              </w:rPr>
              <w:t xml:space="preserve">Deweloper nalicza i przekazuje składki na Deweloperski Fundusz Gwarancyjny (dalej: </w:t>
            </w:r>
            <w:r w:rsidRPr="0068673E">
              <w:rPr>
                <w:rFonts w:ascii="Montserrat" w:hAnsi="Montserrat"/>
                <w:b/>
                <w:bCs/>
                <w:sz w:val="16"/>
                <w:szCs w:val="16"/>
              </w:rPr>
              <w:t>„Fundusz”</w:t>
            </w:r>
            <w:r w:rsidRPr="0068673E">
              <w:rPr>
                <w:rFonts w:ascii="Montserrat" w:hAnsi="Montserrat"/>
                <w:sz w:val="16"/>
                <w:szCs w:val="16"/>
              </w:rPr>
              <w:t xml:space="preserve">), o którym mowa w Rozdziale 8 Ustawy, których wysokość jest ustalona według stawki procentowej wskazanej w prospekcie informacyjnym, zgodnie z zasadami określonymi w art. 49 Ustawy, przy czym: </w:t>
            </w:r>
          </w:p>
          <w:p w:rsidR="00322942" w:rsidRPr="0068673E" w:rsidRDefault="00322942" w:rsidP="00322942">
            <w:pPr>
              <w:numPr>
                <w:ilvl w:val="0"/>
                <w:numId w:val="7"/>
              </w:numPr>
              <w:suppressAutoHyphens/>
              <w:spacing w:after="0" w:line="276" w:lineRule="auto"/>
              <w:ind w:left="644" w:hanging="284"/>
              <w:jc w:val="both"/>
              <w:rPr>
                <w:rFonts w:ascii="Montserrat" w:hAnsi="Montserrat"/>
                <w:sz w:val="16"/>
                <w:szCs w:val="16"/>
              </w:rPr>
            </w:pPr>
            <w:r w:rsidRPr="0068673E">
              <w:rPr>
                <w:rFonts w:ascii="Montserrat" w:hAnsi="Montserrat"/>
                <w:sz w:val="16"/>
                <w:szCs w:val="16"/>
              </w:rPr>
              <w:t xml:space="preserve">podstawą wyliczenia wysokości składki na Fundusz jest wartość wpłaty dokonanej przez Nabywcę na mieszkaniowy rachunek powierniczy w związku z realizacją Umowy, zgodnie z </w:t>
            </w:r>
            <w:r w:rsidRPr="0068673E">
              <w:rPr>
                <w:rFonts w:ascii="Montserrat" w:hAnsi="Montserrat"/>
                <w:sz w:val="16"/>
                <w:szCs w:val="16"/>
              </w:rPr>
              <w:lastRenderedPageBreak/>
              <w:t xml:space="preserve">zasadami określonymi w art. 8 Ustawy, a w przypadku, o którym mowa w art. 32 ust. 4 Ustawy, podstawą wyliczenia wysokości składki jest wartość wpłaty dokonanej przez Dewelopera, </w:t>
            </w:r>
            <w:bookmarkStart w:id="0" w:name="mip59469456"/>
            <w:bookmarkEnd w:id="0"/>
          </w:p>
          <w:p w:rsidR="00322942" w:rsidRPr="0068673E" w:rsidRDefault="00322942" w:rsidP="00322942">
            <w:pPr>
              <w:numPr>
                <w:ilvl w:val="0"/>
                <w:numId w:val="7"/>
              </w:numPr>
              <w:suppressAutoHyphens/>
              <w:spacing w:after="0" w:line="276" w:lineRule="auto"/>
              <w:ind w:left="644" w:hanging="284"/>
              <w:jc w:val="both"/>
              <w:rPr>
                <w:rFonts w:ascii="Montserrat" w:hAnsi="Montserrat"/>
                <w:sz w:val="16"/>
                <w:szCs w:val="16"/>
              </w:rPr>
            </w:pPr>
            <w:r w:rsidRPr="0068673E">
              <w:rPr>
                <w:rFonts w:ascii="Montserrat" w:hAnsi="Montserrat"/>
                <w:sz w:val="16"/>
                <w:szCs w:val="16"/>
              </w:rPr>
              <w:t>składka stanowi iloczyn stawki procentowej, która na dzień Rozpoczęcia sprzedaży wynosi 0,45 % (zgodnie z Rozporządzeniem Ministra Rozwoju i Technologii z dnia 21 czerwca 2022 roku w sprawie wysokości stawek procentowych, według których jest wyliczana kwota składki na Deweloperski Fundusz Gwarancyjny, wydanym na podstawie art. 49 ust. 8 Ustawy) oraz</w:t>
            </w:r>
            <w:bookmarkStart w:id="1" w:name="mip59469458"/>
            <w:bookmarkEnd w:id="1"/>
            <w:r w:rsidRPr="0068673E">
              <w:rPr>
                <w:rFonts w:ascii="Montserrat" w:hAnsi="Montserrat"/>
                <w:sz w:val="16"/>
                <w:szCs w:val="16"/>
              </w:rPr>
              <w:t xml:space="preserve"> wartości wpłaty dokonanej przez Nabywcę na mieszkaniowy rachunek powierniczy albo</w:t>
            </w:r>
            <w:bookmarkStart w:id="2" w:name="mip59469459"/>
            <w:bookmarkEnd w:id="2"/>
            <w:r w:rsidRPr="0068673E">
              <w:rPr>
                <w:rFonts w:ascii="Montserrat" w:hAnsi="Montserrat"/>
                <w:sz w:val="16"/>
                <w:szCs w:val="16"/>
              </w:rPr>
              <w:t xml:space="preserve"> wartości wpłaty dokonanej przez Dewelopera - w przypadku określonym w art. 32 ust. 4 Ustawy,</w:t>
            </w:r>
          </w:p>
          <w:p w:rsidR="00EA1C22" w:rsidRPr="0068673E" w:rsidRDefault="00322942" w:rsidP="00322942">
            <w:pPr>
              <w:numPr>
                <w:ilvl w:val="0"/>
                <w:numId w:val="7"/>
              </w:numPr>
              <w:tabs>
                <w:tab w:val="num" w:pos="1080"/>
              </w:tabs>
              <w:suppressAutoHyphens/>
              <w:spacing w:after="0" w:line="276" w:lineRule="auto"/>
              <w:ind w:left="644" w:hanging="284"/>
              <w:jc w:val="both"/>
              <w:rPr>
                <w:rFonts w:ascii="Montserrat" w:hAnsi="Montserrat"/>
                <w:b/>
                <w:sz w:val="16"/>
                <w:szCs w:val="16"/>
              </w:rPr>
            </w:pPr>
            <w:r w:rsidRPr="0068673E">
              <w:rPr>
                <w:rFonts w:ascii="Montserrat" w:hAnsi="Montserrat"/>
                <w:sz w:val="16"/>
                <w:szCs w:val="16"/>
              </w:rPr>
              <w:t>Deweloper dokonuje wyliczenia wysokości składki na Fundusz i wpłaca ją do Banku prowadzącego mieszkaniowy rachunek powierniczy w terminie 7 (siedmiu) dni od dnia dokonania wpłaty, o której mowa w tiret pierwsze i nie później niż przed wypłatą środków na rzecz Dewelopera. Bank odprowadza tę składkę do Funduszu w terminie 7 (siedmiu) dni od dnia wpłaty składki przez Dewelopera i nie później niż w dniu wypłaty środków na rzecz Dewelopera.</w:t>
            </w:r>
          </w:p>
        </w:tc>
      </w:tr>
      <w:tr w:rsidR="00EA1C22" w:rsidRPr="0068673E" w:rsidTr="00E6102C">
        <w:trPr>
          <w:trHeight w:val="293"/>
        </w:trPr>
        <w:tc>
          <w:tcPr>
            <w:tcW w:w="2810" w:type="dxa"/>
            <w:shd w:val="clear" w:color="auto" w:fill="F3F3F3"/>
          </w:tcPr>
          <w:p w:rsidR="00EA1C22" w:rsidRPr="0068673E" w:rsidRDefault="00EA1C22" w:rsidP="00DE3592">
            <w:pPr>
              <w:spacing w:beforeLines="60" w:afterLines="60" w:line="240" w:lineRule="auto"/>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lastRenderedPageBreak/>
              <w:t>Nazwa instytucji zapewniającej bezpieczeństwo środków nabywcy</w:t>
            </w:r>
          </w:p>
        </w:tc>
        <w:tc>
          <w:tcPr>
            <w:tcW w:w="6838" w:type="dxa"/>
            <w:gridSpan w:val="2"/>
          </w:tcPr>
          <w:p w:rsidR="00EA1C22" w:rsidRPr="0068673E" w:rsidRDefault="00827BA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Bank Mil</w:t>
            </w:r>
            <w:r w:rsidR="00322942" w:rsidRPr="0068673E">
              <w:rPr>
                <w:rFonts w:ascii="Times New Roman" w:eastAsia="Times New Roman" w:hAnsi="Times New Roman" w:cs="Times New Roman"/>
                <w:sz w:val="20"/>
                <w:szCs w:val="20"/>
              </w:rPr>
              <w:t>l</w:t>
            </w:r>
            <w:r w:rsidRPr="0068673E">
              <w:rPr>
                <w:rFonts w:ascii="Times New Roman" w:eastAsia="Times New Roman" w:hAnsi="Times New Roman" w:cs="Times New Roman"/>
                <w:sz w:val="20"/>
                <w:szCs w:val="20"/>
              </w:rPr>
              <w:t>en</w:t>
            </w:r>
            <w:r w:rsidR="00322942" w:rsidRPr="0068673E">
              <w:rPr>
                <w:rFonts w:ascii="Times New Roman" w:eastAsia="Times New Roman" w:hAnsi="Times New Roman" w:cs="Times New Roman"/>
                <w:sz w:val="20"/>
                <w:szCs w:val="20"/>
              </w:rPr>
              <w:t>n</w:t>
            </w:r>
            <w:r w:rsidRPr="0068673E">
              <w:rPr>
                <w:rFonts w:ascii="Times New Roman" w:eastAsia="Times New Roman" w:hAnsi="Times New Roman" w:cs="Times New Roman"/>
                <w:sz w:val="20"/>
                <w:szCs w:val="20"/>
              </w:rPr>
              <w:t>ium</w:t>
            </w:r>
            <w:r w:rsidR="00874DC9" w:rsidRPr="0068673E">
              <w:rPr>
                <w:rFonts w:ascii="Times New Roman" w:eastAsia="Times New Roman" w:hAnsi="Times New Roman" w:cs="Times New Roman"/>
                <w:sz w:val="20"/>
                <w:szCs w:val="20"/>
              </w:rPr>
              <w:t xml:space="preserve"> S.A.</w:t>
            </w:r>
          </w:p>
        </w:tc>
      </w:tr>
      <w:tr w:rsidR="00EA1C22" w:rsidRPr="0068673E" w:rsidTr="00E6102C">
        <w:trPr>
          <w:trHeight w:val="488"/>
        </w:trPr>
        <w:tc>
          <w:tcPr>
            <w:tcW w:w="2810" w:type="dxa"/>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Harmonogram przedsięwzięcia deweloperskiego lubzadania inwestycyjnego</w:t>
            </w:r>
          </w:p>
        </w:tc>
        <w:tc>
          <w:tcPr>
            <w:tcW w:w="6838" w:type="dxa"/>
            <w:gridSpan w:val="2"/>
          </w:tcPr>
          <w:p w:rsidR="00EA1C22" w:rsidRPr="0068673E" w:rsidRDefault="0032294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Zgodnie z załącznikiem nr 1 do Prospektu Informacyjnego.</w:t>
            </w:r>
          </w:p>
        </w:tc>
      </w:tr>
      <w:tr w:rsidR="00EA1C22" w:rsidRPr="0068673E" w:rsidTr="00322942">
        <w:trPr>
          <w:trHeight w:val="1368"/>
        </w:trPr>
        <w:tc>
          <w:tcPr>
            <w:tcW w:w="2810" w:type="dxa"/>
            <w:shd w:val="clear" w:color="auto" w:fill="F3F3F3"/>
          </w:tcPr>
          <w:p w:rsidR="00EA1C22" w:rsidRPr="0068673E" w:rsidRDefault="00EA1C22" w:rsidP="00DE3592">
            <w:pPr>
              <w:spacing w:beforeLines="60" w:afterLines="60" w:line="240" w:lineRule="auto"/>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Dopuszczenie waloryzacji ceny oraz określenie zasad waloryzacji</w:t>
            </w:r>
          </w:p>
        </w:tc>
        <w:tc>
          <w:tcPr>
            <w:tcW w:w="6838" w:type="dxa"/>
            <w:gridSpan w:val="2"/>
          </w:tcPr>
          <w:p w:rsidR="007D644E" w:rsidRPr="0068673E" w:rsidRDefault="007D644E"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Cena została ustalona w oparciu o stawkę podatku od towarów i usług (VAT) obowiązującą w dniu zawarcia Umowy. W przypadku obniżenia stawki VAT przed dokonaniem zapłaty poszczególnych kwot na poczet Ceny, pozostałe do zapłaty na datę obniżenia stawki VAT kwoty na poczet Ceny ulegną odpowiedniemu zmniejszeniu. W przypadku podwyższenia stawki VAT przed dokonaniem zapłaty poszczególnych kwot na poczet Ceny, Deweloper może podwyższyć Cenę poprzez złożenie Nabywcy, w formie pisemnej, oświadczenia o skorzystaniu z prawa do podwyższenia Ceny. Oświadczenie takie będzie złożone przed wejściem życie ustawy zmieniającej stawkę VAT, ze skutkiem od wejścia w życie tej ustawy. W takim wypadku, z zastrzeżeniem ust. 13 niniejszego paragrafu, nieuiszczone w dacie zmiany stawki VAT części Ceny ulegną odpowiedniemu zwiększeniu.</w:t>
            </w:r>
          </w:p>
          <w:p w:rsidR="007D644E" w:rsidRPr="0068673E" w:rsidRDefault="007D644E"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Jeżeli po dokonaniu obmiaru powykonawczego, o którym mowa w § 5 ust. 2 Umowy, okaże się, że pomiędzy projektowaną Powierzchnią użytkową Lokalu mieszkalnego lub powierzchnią Części Nieruchomości wspólnej oddanych do wyłącznego korzystania, wskazanymi w § 1 Umowy, a rzeczywistą Powierzchnią użytkową Lokalu mieszkalnego lub powierzchnią Części Nieruchomości wspólnej oddanych do wyłącznego korzystania ustaloną w oparciu o obmiar powykonawczy, doszło do jakichkolwiek różnic, wówczas Deweloper dokona ponownego ustalenia Ceny w ten sposób, że różnica w metrażu poszczególnych powierzchni ustalona w obmiarze powykonawczym, zostanie rozliczona zgodnie z poniższymi założeniami:</w:t>
            </w:r>
          </w:p>
          <w:p w:rsidR="007D644E" w:rsidRPr="0068673E" w:rsidRDefault="007D644E" w:rsidP="00DE3592">
            <w:pPr>
              <w:numPr>
                <w:ilvl w:val="0"/>
                <w:numId w:val="8"/>
              </w:numPr>
              <w:tabs>
                <w:tab w:val="num" w:pos="502"/>
              </w:tabs>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kwota w wysokości brutto [______] zł (słownie: [______] złotych) za jeden m</w:t>
            </w:r>
            <w:r w:rsidRPr="0068673E">
              <w:rPr>
                <w:rFonts w:ascii="Times New Roman" w:eastAsia="Times New Roman" w:hAnsi="Times New Roman" w:cs="Times New Roman"/>
                <w:sz w:val="20"/>
                <w:szCs w:val="20"/>
                <w:vertAlign w:val="superscript"/>
              </w:rPr>
              <w:t>2</w:t>
            </w:r>
            <w:r w:rsidRPr="0068673E">
              <w:rPr>
                <w:rFonts w:ascii="Times New Roman" w:eastAsia="Times New Roman" w:hAnsi="Times New Roman" w:cs="Times New Roman"/>
                <w:sz w:val="20"/>
                <w:szCs w:val="20"/>
              </w:rPr>
              <w:t xml:space="preserve"> Powierzchni użytkowej Lokalu Mieszkalnego, w tym 8 % VAT,</w:t>
            </w:r>
          </w:p>
          <w:p w:rsidR="007D644E" w:rsidRPr="0068673E" w:rsidRDefault="007D644E" w:rsidP="00DE3592">
            <w:pPr>
              <w:numPr>
                <w:ilvl w:val="0"/>
                <w:numId w:val="8"/>
              </w:numPr>
              <w:tabs>
                <w:tab w:val="num" w:pos="502"/>
              </w:tabs>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kwota w wysokości brutto [______] zł (słownie: [______] złotych) za jeden m</w:t>
            </w:r>
            <w:r w:rsidRPr="0068673E">
              <w:rPr>
                <w:rFonts w:ascii="Times New Roman" w:eastAsia="Times New Roman" w:hAnsi="Times New Roman" w:cs="Times New Roman"/>
                <w:sz w:val="20"/>
                <w:szCs w:val="20"/>
                <w:vertAlign w:val="superscript"/>
              </w:rPr>
              <w:t xml:space="preserve">2 </w:t>
            </w:r>
            <w:r w:rsidRPr="0068673E">
              <w:rPr>
                <w:rFonts w:ascii="Times New Roman" w:eastAsia="Times New Roman" w:hAnsi="Times New Roman" w:cs="Times New Roman"/>
                <w:sz w:val="20"/>
                <w:szCs w:val="20"/>
              </w:rPr>
              <w:t>Balkonu, w tym 8 % VAT,</w:t>
            </w:r>
          </w:p>
          <w:p w:rsidR="007D644E" w:rsidRPr="0068673E" w:rsidRDefault="007D644E" w:rsidP="00DE3592">
            <w:pPr>
              <w:numPr>
                <w:ilvl w:val="0"/>
                <w:numId w:val="8"/>
              </w:numPr>
              <w:tabs>
                <w:tab w:val="num" w:pos="502"/>
              </w:tabs>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kwota w wysokości brutto [______] zł (słownie: [______] złotych) za jeden m</w:t>
            </w:r>
            <w:r w:rsidRPr="0068673E">
              <w:rPr>
                <w:rFonts w:ascii="Times New Roman" w:eastAsia="Times New Roman" w:hAnsi="Times New Roman" w:cs="Times New Roman"/>
                <w:sz w:val="20"/>
                <w:szCs w:val="20"/>
                <w:vertAlign w:val="superscript"/>
              </w:rPr>
              <w:t xml:space="preserve">2 </w:t>
            </w:r>
            <w:r w:rsidRPr="0068673E">
              <w:rPr>
                <w:rFonts w:ascii="Times New Roman" w:eastAsia="Times New Roman" w:hAnsi="Times New Roman" w:cs="Times New Roman"/>
                <w:sz w:val="20"/>
                <w:szCs w:val="20"/>
              </w:rPr>
              <w:t>Loggii, w tym 8 % VAT,</w:t>
            </w:r>
          </w:p>
          <w:p w:rsidR="007D644E" w:rsidRPr="0068673E" w:rsidRDefault="007D644E" w:rsidP="00DE3592">
            <w:pPr>
              <w:numPr>
                <w:ilvl w:val="0"/>
                <w:numId w:val="8"/>
              </w:numPr>
              <w:tabs>
                <w:tab w:val="num" w:pos="502"/>
              </w:tabs>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kwota w wysokości brutto [______] zł (słownie: [______] złotych) za jeden m</w:t>
            </w:r>
            <w:r w:rsidRPr="0068673E">
              <w:rPr>
                <w:rFonts w:ascii="Times New Roman" w:eastAsia="Times New Roman" w:hAnsi="Times New Roman" w:cs="Times New Roman"/>
                <w:sz w:val="20"/>
                <w:szCs w:val="20"/>
                <w:vertAlign w:val="superscript"/>
              </w:rPr>
              <w:t xml:space="preserve">2 </w:t>
            </w:r>
            <w:r w:rsidRPr="0068673E">
              <w:rPr>
                <w:rFonts w:ascii="Times New Roman" w:eastAsia="Times New Roman" w:hAnsi="Times New Roman" w:cs="Times New Roman"/>
                <w:sz w:val="20"/>
                <w:szCs w:val="20"/>
              </w:rPr>
              <w:t xml:space="preserve">Ogródka, w tym 8 % </w:t>
            </w:r>
            <w:r w:rsidRPr="0068673E">
              <w:rPr>
                <w:rFonts w:ascii="Times New Roman" w:eastAsia="Times New Roman" w:hAnsi="Times New Roman" w:cs="Times New Roman"/>
                <w:sz w:val="20"/>
                <w:szCs w:val="20"/>
              </w:rPr>
              <w:lastRenderedPageBreak/>
              <w:t>VAT,</w:t>
            </w:r>
          </w:p>
          <w:p w:rsidR="007D644E" w:rsidRPr="0068673E" w:rsidRDefault="007D644E" w:rsidP="00DE3592">
            <w:pPr>
              <w:numPr>
                <w:ilvl w:val="0"/>
                <w:numId w:val="8"/>
              </w:numPr>
              <w:tabs>
                <w:tab w:val="num" w:pos="502"/>
              </w:tabs>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kwota w wysokości brutto [______] zł (słownie: [______] złotych) za jeden m</w:t>
            </w:r>
            <w:r w:rsidRPr="0068673E">
              <w:rPr>
                <w:rFonts w:ascii="Times New Roman" w:eastAsia="Times New Roman" w:hAnsi="Times New Roman" w:cs="Times New Roman"/>
                <w:sz w:val="20"/>
                <w:szCs w:val="20"/>
                <w:vertAlign w:val="superscript"/>
              </w:rPr>
              <w:t xml:space="preserve">2 </w:t>
            </w:r>
            <w:r w:rsidRPr="0068673E">
              <w:rPr>
                <w:rFonts w:ascii="Times New Roman" w:eastAsia="Times New Roman" w:hAnsi="Times New Roman" w:cs="Times New Roman"/>
                <w:sz w:val="20"/>
                <w:szCs w:val="20"/>
              </w:rPr>
              <w:t>Tarasu, w tym 8 % VAT,</w:t>
            </w:r>
          </w:p>
          <w:p w:rsidR="007D644E" w:rsidRPr="0068673E" w:rsidRDefault="007D644E" w:rsidP="00DE3592">
            <w:pPr>
              <w:numPr>
                <w:ilvl w:val="0"/>
                <w:numId w:val="8"/>
              </w:numPr>
              <w:tabs>
                <w:tab w:val="num" w:pos="502"/>
              </w:tabs>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kwota w wysokości brutto [______] zł (słownie: [______] złotych) za jeden m</w:t>
            </w:r>
            <w:r w:rsidRPr="0068673E">
              <w:rPr>
                <w:rFonts w:ascii="Times New Roman" w:eastAsia="Times New Roman" w:hAnsi="Times New Roman" w:cs="Times New Roman"/>
                <w:sz w:val="20"/>
                <w:szCs w:val="20"/>
                <w:vertAlign w:val="superscript"/>
              </w:rPr>
              <w:t xml:space="preserve">2 </w:t>
            </w:r>
            <w:r w:rsidRPr="0068673E">
              <w:rPr>
                <w:rFonts w:ascii="Times New Roman" w:eastAsia="Times New Roman" w:hAnsi="Times New Roman" w:cs="Times New Roman"/>
                <w:sz w:val="20"/>
                <w:szCs w:val="20"/>
              </w:rPr>
              <w:t>Schowka rowerowego, w tym 8 % VAT,</w:t>
            </w:r>
          </w:p>
          <w:p w:rsidR="007D644E" w:rsidRPr="0068673E" w:rsidRDefault="007D644E" w:rsidP="00DE3592">
            <w:pPr>
              <w:numPr>
                <w:ilvl w:val="0"/>
                <w:numId w:val="8"/>
              </w:numPr>
              <w:tabs>
                <w:tab w:val="num" w:pos="502"/>
              </w:tabs>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kwota w wysokości brutto [______] zł (słownie: [______] złotych) za jeden m</w:t>
            </w:r>
            <w:r w:rsidRPr="0068673E">
              <w:rPr>
                <w:rFonts w:ascii="Times New Roman" w:eastAsia="Times New Roman" w:hAnsi="Times New Roman" w:cs="Times New Roman"/>
                <w:sz w:val="20"/>
                <w:szCs w:val="20"/>
                <w:vertAlign w:val="superscript"/>
              </w:rPr>
              <w:t xml:space="preserve">2 </w:t>
            </w:r>
            <w:r w:rsidRPr="0068673E">
              <w:rPr>
                <w:rFonts w:ascii="Times New Roman" w:eastAsia="Times New Roman" w:hAnsi="Times New Roman" w:cs="Times New Roman"/>
                <w:sz w:val="20"/>
                <w:szCs w:val="20"/>
              </w:rPr>
              <w:t>Komórki lokatorskiej, w tym 8 % VAT,</w:t>
            </w:r>
          </w:p>
          <w:p w:rsidR="00EA1C22" w:rsidRPr="0068673E" w:rsidRDefault="007D644E"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W przypadku, gdy po takim ponownym ustaleniu Ceny okaże się, że jej wysokość będzie niższa niż kwota Ceny wskazana w § 1 pkt. 17 Umowy, wówczas Cena ulegnie zmniejszeniu o kwotę stwierdzonej w ten sposób różnicy. O wartość tej różnicy zostanie pomniejszona ostatnia część Ceny, a w przypadku istnienia nadpłaty po stronie Nabywcy, różnica zostanie zwrócona Nabywcy w terminie 14 (czternastu) dni od daty poinformowania Nabywcy o wynikach obmiarów powykonawczych. W przypadku, gdy po takim ponownym ustaleniu Ceny okaże się, że jej wysokość będzie wyższa niż kwota Ceny wskazana w § 1 pkt. 17 Umowy, Deweloper będzie uprawniony do podwyższenia Ceny maksymalnie o wartość stwierdzonej w ten sposób różnicy. Wówczas, z zastrzeżeniem ust. 13 niniejszego paragrafu, o różnicę taką zostanie powiększona ostatnia część Ceny, a w przypadku istnienia niedopłaty po stronie Nabywcy, różnica zostanie zapłacona przez Nabywcę w terminie 14 (czternastu) dni od daty poinformowania Nabywcy o wynikach obmiarów powykonawczych. Deweloper poinformuje Nabywcę o wynikach obmiarów powykonawczych przed dokonaniem przez Strony odbioru Lokalu mieszkalnego, w formie pisemnej, przy czym - w przypadku skorzystania z prawa do podwyższenia Ceny - przedmiotem takiego zawiadomienia będzie również oświadczenie w tym zakresie.</w:t>
            </w:r>
          </w:p>
        </w:tc>
      </w:tr>
      <w:tr w:rsidR="00EA1C22" w:rsidRPr="0068673E" w:rsidTr="00E6102C">
        <w:tc>
          <w:tcPr>
            <w:tcW w:w="9648" w:type="dxa"/>
            <w:gridSpan w:val="3"/>
            <w:tcBorders>
              <w:bottom w:val="single" w:sz="4" w:space="0" w:color="auto"/>
            </w:tcBorders>
            <w:shd w:val="clear" w:color="auto" w:fill="E0E0E0"/>
          </w:tcPr>
          <w:p w:rsidR="00EA1C22" w:rsidRPr="0068673E" w:rsidRDefault="00EA1C22" w:rsidP="00DE3592">
            <w:pPr>
              <w:spacing w:beforeLines="60" w:afterLines="60" w:line="240" w:lineRule="auto"/>
              <w:jc w:val="both"/>
              <w:rPr>
                <w:rFonts w:ascii="Times New Roman" w:eastAsia="Times New Roman" w:hAnsi="Times New Roman" w:cs="Times New Roman"/>
                <w:b/>
                <w:sz w:val="20"/>
                <w:szCs w:val="20"/>
              </w:rPr>
            </w:pPr>
            <w:r w:rsidRPr="0068673E">
              <w:rPr>
                <w:rFonts w:ascii="Times New Roman" w:eastAsia="Times New Roman" w:hAnsi="Times New Roman" w:cs="Times New Roman"/>
                <w:b/>
                <w:sz w:val="20"/>
                <w:szCs w:val="20"/>
              </w:rPr>
              <w:lastRenderedPageBreak/>
              <w:t>WARUNKI ODSTĄPIENIA OD UMOWY DEWELOPERSKIEJ LUB UMOWY, O KTÓREJ MOWA W ART. 2 UST. 1 PKT 2, 3 LUB 5 USTAWY Z DNIA ….O OCHRONIE PRAW NABYWCY LOKALU MIESZKALNEGO LUB DOMU JEDNORODZINNEGO ORAZ O DEWELOPERSKIM FUNDUSZU GWARANCYJNYM (Dz. U.…)</w:t>
            </w:r>
          </w:p>
          <w:p w:rsidR="00EA1C22" w:rsidRPr="0068673E" w:rsidRDefault="00EA1C22" w:rsidP="00DE3592">
            <w:pPr>
              <w:spacing w:beforeLines="60" w:afterLines="60" w:line="240" w:lineRule="auto"/>
              <w:jc w:val="both"/>
              <w:rPr>
                <w:rFonts w:ascii="Times New Roman" w:eastAsia="Times New Roman" w:hAnsi="Times New Roman" w:cs="Times New Roman"/>
                <w:b/>
                <w:sz w:val="20"/>
                <w:szCs w:val="20"/>
              </w:rPr>
            </w:pPr>
          </w:p>
        </w:tc>
      </w:tr>
      <w:tr w:rsidR="00EA1C22" w:rsidRPr="0068673E" w:rsidTr="00E6102C">
        <w:trPr>
          <w:trHeight w:val="1512"/>
        </w:trPr>
        <w:tc>
          <w:tcPr>
            <w:tcW w:w="2810" w:type="dxa"/>
            <w:tcBorders>
              <w:bottom w:val="single" w:sz="4" w:space="0" w:color="auto"/>
            </w:tcBorders>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Należy opisać, na jakich warunkach można odstąpić od umowy deweloperskiej lub jednej z umów, o których mowa w art. 2 ust. 1 pkt 2, 3 lub5 ustawy z dnia … o ochronie praw nabywcy lokalu mieszkalnego lub domu jednorodzinnego oraz o Deweloperskim Funduszu Gwarancyjnym</w:t>
            </w:r>
          </w:p>
        </w:tc>
        <w:tc>
          <w:tcPr>
            <w:tcW w:w="6838" w:type="dxa"/>
            <w:gridSpan w:val="2"/>
          </w:tcPr>
          <w:p w:rsidR="00EA1C22" w:rsidRPr="0068673E" w:rsidRDefault="00874DC9"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Zgodnie z ustawą z dn. 20.05.2021r. o ochronie praw nabywcy lokalu mieszkalnego lub domu jednorodzinnego oraz deweloperskim funduszu gwarancyjnym</w:t>
            </w:r>
          </w:p>
        </w:tc>
      </w:tr>
      <w:tr w:rsidR="00EA1C22" w:rsidRPr="0068673E" w:rsidTr="00A80C58">
        <w:trPr>
          <w:trHeight w:val="510"/>
        </w:trPr>
        <w:tc>
          <w:tcPr>
            <w:tcW w:w="9648" w:type="dxa"/>
            <w:gridSpan w:val="3"/>
            <w:tcBorders>
              <w:bottom w:val="single" w:sz="4" w:space="0" w:color="auto"/>
            </w:tcBorders>
            <w:shd w:val="clear" w:color="auto" w:fill="D9D9D9"/>
          </w:tcPr>
          <w:p w:rsidR="00EA1C22" w:rsidRPr="0068673E" w:rsidRDefault="00EA1C22" w:rsidP="00DE3592">
            <w:pPr>
              <w:spacing w:beforeLines="60" w:afterLines="60" w:line="240" w:lineRule="auto"/>
              <w:jc w:val="both"/>
              <w:rPr>
                <w:rFonts w:ascii="Times New Roman" w:eastAsia="Times New Roman" w:hAnsi="Times New Roman" w:cs="Times New Roman"/>
                <w:b/>
                <w:sz w:val="20"/>
                <w:szCs w:val="20"/>
              </w:rPr>
            </w:pPr>
            <w:r w:rsidRPr="0068673E">
              <w:rPr>
                <w:rFonts w:ascii="Times New Roman" w:eastAsia="Times New Roman" w:hAnsi="Times New Roman" w:cs="Times New Roman"/>
                <w:b/>
                <w:sz w:val="20"/>
                <w:szCs w:val="20"/>
              </w:rPr>
              <w:t xml:space="preserve">INNE INFORMACJE </w:t>
            </w:r>
          </w:p>
        </w:tc>
      </w:tr>
      <w:tr w:rsidR="00EA1C22" w:rsidRPr="0068673E" w:rsidTr="00A80C58">
        <w:trPr>
          <w:trHeight w:val="1512"/>
        </w:trPr>
        <w:tc>
          <w:tcPr>
            <w:tcW w:w="9648" w:type="dxa"/>
            <w:gridSpan w:val="3"/>
            <w:tcBorders>
              <w:bottom w:val="nil"/>
            </w:tcBorders>
            <w:shd w:val="clear" w:color="auto" w:fill="F3F3F3"/>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I. Informacja o:</w:t>
            </w:r>
          </w:p>
          <w:p w:rsidR="00EA1C22" w:rsidRPr="0068673E" w:rsidRDefault="0012739C" w:rsidP="00DE3592">
            <w:pPr>
              <w:spacing w:beforeLines="60" w:afterLines="60" w:line="240" w:lineRule="auto"/>
              <w:ind w:left="313" w:hanging="313"/>
              <w:jc w:val="both"/>
              <w:rPr>
                <w:rFonts w:ascii="Times New Roman" w:eastAsia="Times New Roman" w:hAnsi="Times New Roman" w:cs="Times New Roman"/>
                <w:sz w:val="20"/>
                <w:szCs w:val="20"/>
                <w:lang w:eastAsia="pl-PL"/>
              </w:rPr>
            </w:pPr>
            <w:r w:rsidRPr="0068673E">
              <w:rPr>
                <w:rFonts w:ascii="Times New Roman" w:eastAsia="Times New Roman" w:hAnsi="Times New Roman" w:cs="Times New Roman"/>
                <w:sz w:val="20"/>
                <w:szCs w:val="20"/>
              </w:rPr>
              <w:t>1)</w:t>
            </w:r>
            <w:r w:rsidR="00EF63EF" w:rsidRPr="0068673E">
              <w:rPr>
                <w:rFonts w:ascii="Times New Roman" w:eastAsia="Times New Roman" w:hAnsi="Times New Roman" w:cs="Times New Roman"/>
                <w:sz w:val="20"/>
                <w:szCs w:val="20"/>
              </w:rPr>
              <w:tab/>
            </w:r>
            <w:r w:rsidR="00EA1C22" w:rsidRPr="0068673E">
              <w:rPr>
                <w:rFonts w:ascii="Times New Roman" w:eastAsia="Times New Roman" w:hAnsi="Times New Roman" w:cs="Times New Roman"/>
                <w:sz w:val="20"/>
                <w:szCs w:val="20"/>
              </w:rPr>
              <w:t xml:space="preserve">zgodzie </w:t>
            </w:r>
            <w:r w:rsidR="00EA1C22" w:rsidRPr="0068673E">
              <w:rPr>
                <w:rFonts w:ascii="Times New Roman" w:eastAsia="Times New Roman" w:hAnsi="Times New Roman" w:cs="Times New Roman"/>
                <w:sz w:val="20"/>
                <w:szCs w:val="20"/>
                <w:lang w:eastAsia="pl-PL"/>
              </w:rPr>
              <w:t xml:space="preserve">banku lub innego wierzyciela hipotecznego na bezobciążeniowe ustanowienie odrębnej własności lokalu mieszkalnego i przeniesienie jego własności na nabywcę po wpłacie pełnej ceny przez nabywcę lub zobowiązanie do jej udzielenia, jeżeli takie obciążenie istnieje, albo zgodzie banku lub innego wierzyciela hipotecznego na bezobciążeniowe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w:t>
            </w:r>
            <w:r w:rsidR="00EA1C22" w:rsidRPr="0068673E">
              <w:rPr>
                <w:rFonts w:ascii="Times New Roman" w:eastAsia="Times New Roman" w:hAnsi="Times New Roman" w:cs="Times New Roman"/>
                <w:sz w:val="20"/>
                <w:szCs w:val="20"/>
                <w:lang w:eastAsia="pl-PL"/>
              </w:rPr>
              <w:lastRenderedPageBreak/>
              <w:t xml:space="preserve">prawem do wyłącznego korzystania z części nieruchomości służącej zaspokajaniu potrzeb mieszkaniowych po wpłacie pełnej ceny przez nabywcę lub zobowiązanie do jej udzielenia, jeżeli takie obciążenie istnieje; </w:t>
            </w:r>
          </w:p>
          <w:p w:rsidR="00EA1C22" w:rsidRPr="0068673E" w:rsidRDefault="00EA1C22" w:rsidP="00DE3592">
            <w:pPr>
              <w:spacing w:beforeLines="60" w:afterLines="60" w:line="240" w:lineRule="auto"/>
              <w:ind w:left="313" w:hanging="313"/>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lang w:eastAsia="pl-PL"/>
              </w:rPr>
              <w:t>2)</w:t>
            </w:r>
            <w:r w:rsidR="00EF63EF" w:rsidRPr="0068673E">
              <w:rPr>
                <w:rFonts w:ascii="Times New Roman" w:eastAsia="Times New Roman" w:hAnsi="Times New Roman" w:cs="Times New Roman"/>
                <w:sz w:val="20"/>
                <w:szCs w:val="20"/>
                <w:lang w:eastAsia="pl-PL"/>
              </w:rPr>
              <w:tab/>
            </w:r>
            <w:r w:rsidRPr="0068673E">
              <w:rPr>
                <w:rFonts w:ascii="Times New Roman" w:eastAsia="Times New Roman" w:hAnsi="Times New Roman" w:cs="Times New Roman"/>
                <w:sz w:val="20"/>
                <w:szCs w:val="20"/>
              </w:rPr>
              <w:t xml:space="preserve">w przypadku umów, o których mowa w art. 2 ust. 2 ustawy z dnia … o ochronie praw nabywcy lokalu mieszkalnego lub domu jednorodzinnego oraz o Deweloperskim Funduszu Gwarancyjnym,o </w:t>
            </w:r>
            <w:r w:rsidRPr="0068673E">
              <w:rPr>
                <w:rFonts w:ascii="Times New Roman" w:eastAsia="Times New Roman" w:hAnsi="Times New Roman" w:cs="Times New Roman"/>
                <w:sz w:val="20"/>
                <w:szCs w:val="20"/>
                <w:lang w:eastAsia="pl-PL"/>
              </w:rPr>
              <w:t>zgodzie banku lub innego wierzyciela hipotecznego na bezobciążeniowe przeniesieniewłasności lokalu użytkowego na nabywcę po wpłacie pełnej ceny przez nabywcę lub zobowiązanie do udzielenia takiej zgody, jeżeli takie obciążenie istnieje, albo zgodzie banku lub innego wierzyciela hipotecznego na bezobciążeniowe przeniesienie na nabywcę ułamkowej części własności lokalu użytkowego po wpłacie pełnej ceny przez nabywcę lub zobowiązanie do udzielenia takiej zgody, jeżeli takie obciążenie istnieje.</w:t>
            </w:r>
          </w:p>
        </w:tc>
      </w:tr>
      <w:tr w:rsidR="00EA1C22" w:rsidRPr="0068673E" w:rsidTr="00A80C58">
        <w:trPr>
          <w:trHeight w:val="1512"/>
        </w:trPr>
        <w:tc>
          <w:tcPr>
            <w:tcW w:w="9648" w:type="dxa"/>
            <w:gridSpan w:val="3"/>
            <w:tcBorders>
              <w:top w:val="nil"/>
              <w:bottom w:val="nil"/>
            </w:tcBorders>
            <w:shd w:val="clear" w:color="auto" w:fill="FFFFFF"/>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lastRenderedPageBreak/>
              <w:t>II. Informacja o możliwości zapoznania się w lokalu przedsiębiorstwa przez osobę zainteresowaną zawarciem umowy odpowiednio do zakresu umowy z:</w:t>
            </w:r>
          </w:p>
          <w:p w:rsidR="00EA1C22" w:rsidRPr="0068673E" w:rsidRDefault="00EA1C22" w:rsidP="00DE3592">
            <w:pPr>
              <w:widowControl w:val="0"/>
              <w:numPr>
                <w:ilvl w:val="0"/>
                <w:numId w:val="3"/>
              </w:numPr>
              <w:autoSpaceDE w:val="0"/>
              <w:autoSpaceDN w:val="0"/>
              <w:adjustRightInd w:val="0"/>
              <w:spacing w:beforeLines="60" w:afterLines="60" w:line="240" w:lineRule="auto"/>
              <w:ind w:left="738" w:hanging="378"/>
              <w:contextualSpacing/>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aktualnym stanem księgi wieczystej;</w:t>
            </w:r>
          </w:p>
          <w:p w:rsidR="00EA1C22" w:rsidRPr="0068673E" w:rsidRDefault="00EA1C22" w:rsidP="00DE3592">
            <w:pPr>
              <w:widowControl w:val="0"/>
              <w:numPr>
                <w:ilvl w:val="0"/>
                <w:numId w:val="3"/>
              </w:numPr>
              <w:autoSpaceDE w:val="0"/>
              <w:autoSpaceDN w:val="0"/>
              <w:adjustRightInd w:val="0"/>
              <w:spacing w:beforeLines="60" w:afterLines="60" w:line="240" w:lineRule="auto"/>
              <w:ind w:left="738" w:hanging="378"/>
              <w:contextualSpacing/>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aktualnym odpisem, wyciągiem, zaświadczeniem lub wydrukiem komputerowym z Centralnej Informacji Krajowego Rejestru Sądowego, jeżeli podmiot podlega wpisowi do Krajowego Rejestru Sądowego, albo aktualnym zaświadczeniem o wpisie do Centralnej Ewidencji i Informacji o Działalności Gospodarczej lub wydrukiem ze strony internetowej tej ewidencji;</w:t>
            </w:r>
          </w:p>
          <w:p w:rsidR="00EA1C22" w:rsidRPr="0068673E" w:rsidRDefault="00EA1C22" w:rsidP="00DE3592">
            <w:pPr>
              <w:widowControl w:val="0"/>
              <w:numPr>
                <w:ilvl w:val="0"/>
                <w:numId w:val="3"/>
              </w:numPr>
              <w:autoSpaceDE w:val="0"/>
              <w:autoSpaceDN w:val="0"/>
              <w:adjustRightInd w:val="0"/>
              <w:spacing w:beforeLines="60" w:afterLines="60" w:line="240" w:lineRule="auto"/>
              <w:ind w:left="738" w:hanging="378"/>
              <w:contextualSpacing/>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kopią decyzji o pozwoleniu na budowę;</w:t>
            </w:r>
          </w:p>
          <w:p w:rsidR="00EA1C22" w:rsidRPr="0068673E" w:rsidRDefault="00EA1C22" w:rsidP="00DE3592">
            <w:pPr>
              <w:widowControl w:val="0"/>
              <w:numPr>
                <w:ilvl w:val="0"/>
                <w:numId w:val="3"/>
              </w:numPr>
              <w:autoSpaceDE w:val="0"/>
              <w:autoSpaceDN w:val="0"/>
              <w:adjustRightInd w:val="0"/>
              <w:spacing w:beforeLines="60" w:afterLines="60" w:line="240" w:lineRule="auto"/>
              <w:ind w:left="738" w:hanging="378"/>
              <w:contextualSpacing/>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sprawozdaniem finansowym dewelopera za ostatnie dwa lata, a w przypadku realizacji inwestycji przez spółkę celową – sprawozdaniem spółki dominującej oraz spółki celowej;</w:t>
            </w:r>
          </w:p>
          <w:p w:rsidR="00EA1C22" w:rsidRPr="0068673E" w:rsidRDefault="00EA1C22" w:rsidP="00DE3592">
            <w:pPr>
              <w:widowControl w:val="0"/>
              <w:numPr>
                <w:ilvl w:val="0"/>
                <w:numId w:val="3"/>
              </w:numPr>
              <w:autoSpaceDE w:val="0"/>
              <w:autoSpaceDN w:val="0"/>
              <w:adjustRightInd w:val="0"/>
              <w:spacing w:beforeLines="60" w:afterLines="60" w:line="240" w:lineRule="auto"/>
              <w:ind w:left="738" w:hanging="378"/>
              <w:contextualSpacing/>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projektem budowlanym;</w:t>
            </w:r>
          </w:p>
          <w:p w:rsidR="00EA1C22" w:rsidRPr="0068673E" w:rsidRDefault="00EA1C22" w:rsidP="00DE3592">
            <w:pPr>
              <w:widowControl w:val="0"/>
              <w:numPr>
                <w:ilvl w:val="0"/>
                <w:numId w:val="3"/>
              </w:numPr>
              <w:autoSpaceDE w:val="0"/>
              <w:autoSpaceDN w:val="0"/>
              <w:adjustRightInd w:val="0"/>
              <w:spacing w:beforeLines="60" w:afterLines="60" w:line="240" w:lineRule="auto"/>
              <w:ind w:left="738" w:hanging="378"/>
              <w:contextualSpacing/>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kopią decyzji o pozwoleniu na użytkowanie budynku;</w:t>
            </w:r>
          </w:p>
          <w:p w:rsidR="00EA1C22" w:rsidRPr="0068673E" w:rsidRDefault="00EA1C22" w:rsidP="00DE3592">
            <w:pPr>
              <w:widowControl w:val="0"/>
              <w:numPr>
                <w:ilvl w:val="0"/>
                <w:numId w:val="3"/>
              </w:numPr>
              <w:autoSpaceDE w:val="0"/>
              <w:autoSpaceDN w:val="0"/>
              <w:adjustRightInd w:val="0"/>
              <w:spacing w:beforeLines="60" w:afterLines="60" w:line="240" w:lineRule="auto"/>
              <w:ind w:left="738" w:hanging="378"/>
              <w:contextualSpacing/>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zaświadczeniem o samodzielności lokalu;</w:t>
            </w:r>
          </w:p>
          <w:p w:rsidR="00EA1C22" w:rsidRPr="0068673E" w:rsidRDefault="00EA1C22" w:rsidP="00DE3592">
            <w:pPr>
              <w:widowControl w:val="0"/>
              <w:numPr>
                <w:ilvl w:val="0"/>
                <w:numId w:val="3"/>
              </w:numPr>
              <w:autoSpaceDE w:val="0"/>
              <w:autoSpaceDN w:val="0"/>
              <w:adjustRightInd w:val="0"/>
              <w:spacing w:beforeLines="60" w:afterLines="60" w:line="240" w:lineRule="auto"/>
              <w:ind w:left="738" w:hanging="378"/>
              <w:contextualSpacing/>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aktem ustanowienia odrębnej własności lokalu;</w:t>
            </w:r>
          </w:p>
          <w:p w:rsidR="00EA1C22" w:rsidRPr="0068673E" w:rsidRDefault="00EA1C22" w:rsidP="00DE3592">
            <w:pPr>
              <w:widowControl w:val="0"/>
              <w:numPr>
                <w:ilvl w:val="0"/>
                <w:numId w:val="3"/>
              </w:numPr>
              <w:autoSpaceDE w:val="0"/>
              <w:autoSpaceDN w:val="0"/>
              <w:adjustRightInd w:val="0"/>
              <w:spacing w:beforeLines="60" w:afterLines="60" w:line="240" w:lineRule="auto"/>
              <w:ind w:left="738" w:hanging="378"/>
              <w:contextualSpacing/>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dokumentem potwierdzającym:</w:t>
            </w:r>
          </w:p>
          <w:p w:rsidR="00EA1C22" w:rsidRPr="0068673E" w:rsidRDefault="00EA1C22" w:rsidP="00DE3592">
            <w:pPr>
              <w:widowControl w:val="0"/>
              <w:numPr>
                <w:ilvl w:val="0"/>
                <w:numId w:val="4"/>
              </w:numPr>
              <w:autoSpaceDE w:val="0"/>
              <w:autoSpaceDN w:val="0"/>
              <w:adjustRightInd w:val="0"/>
              <w:spacing w:beforeLines="60" w:afterLines="60" w:line="240" w:lineRule="auto"/>
              <w:ind w:left="1163" w:hanging="425"/>
              <w:contextualSpacing/>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 xml:space="preserve">zgodę </w:t>
            </w:r>
            <w:r w:rsidRPr="0068673E">
              <w:rPr>
                <w:rFonts w:ascii="Times New Roman" w:eastAsia="Times New Roman" w:hAnsi="Times New Roman" w:cs="Times New Roman"/>
                <w:sz w:val="20"/>
                <w:szCs w:val="20"/>
                <w:lang w:eastAsia="pl-PL"/>
              </w:rPr>
              <w:t xml:space="preserve">banku lub innego wierzyciela hipotecznego na bezobciążeniowe ustanowienie odrębnej własności lokalu mieszkalnego i przeniesienie jego własności na nabywcę po wpłacie pełnej ceny przez nabywcę lub zobowiązaniem do jej udzielenia, jeżeli takie obciążenie istnieje, albo zgodą banku lub innego wierzyciela hipotecznego na bezobciążeniowe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zobowiązaniem do jej udzielenia, jeżeli takie obciążenie istnieje, </w:t>
            </w:r>
          </w:p>
          <w:p w:rsidR="00EA1C22" w:rsidRPr="0068673E" w:rsidRDefault="00EA1C22" w:rsidP="00DE3592">
            <w:pPr>
              <w:widowControl w:val="0"/>
              <w:numPr>
                <w:ilvl w:val="0"/>
                <w:numId w:val="4"/>
              </w:numPr>
              <w:autoSpaceDE w:val="0"/>
              <w:autoSpaceDN w:val="0"/>
              <w:adjustRightInd w:val="0"/>
              <w:spacing w:beforeLines="60" w:afterLines="60" w:line="240" w:lineRule="auto"/>
              <w:ind w:left="1163" w:hanging="425"/>
              <w:contextualSpacing/>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w przypadku umów, o których mowa w art. 2 ust. 2 z dnia … o ochronie praw nabywcy lokalu mieszkalnego lub domu jednorodzinnego oraz o Deweloperskim Funduszu Gwarancyjnym,</w:t>
            </w:r>
            <w:r w:rsidRPr="0068673E">
              <w:rPr>
                <w:rFonts w:ascii="Times New Roman" w:eastAsia="Times New Roman" w:hAnsi="Times New Roman" w:cs="Times New Roman"/>
                <w:sz w:val="20"/>
                <w:szCs w:val="20"/>
                <w:lang w:eastAsia="pl-PL"/>
              </w:rPr>
              <w:t>zgodą banku lub innego wierzyciela hipotecznego na bezobciążeniowe przeniesienie własności lokalu użytkowego na nabywcę po wpłacie pełnej ceny przez nabywcę lub zobowiązaniem do udzielenia takiej zgody, jeżeli takie obciążenie istnieje, albo zgodą banku lub innego wierzyciela hipotecznego na bezobciążeniowe przeniesienie na nabywcę ułamkowej części własności lokalu użytkowego po wpłacie pełnej ceny przez nabywcę lub zobowiązaniem do udzielenia takiej zgody, jeżeli takie obciążenie istnieje.</w:t>
            </w:r>
          </w:p>
        </w:tc>
      </w:tr>
      <w:tr w:rsidR="00EA1C22" w:rsidRPr="0068673E" w:rsidTr="00A80C58">
        <w:trPr>
          <w:trHeight w:val="1512"/>
        </w:trPr>
        <w:tc>
          <w:tcPr>
            <w:tcW w:w="9648" w:type="dxa"/>
            <w:gridSpan w:val="3"/>
            <w:tcBorders>
              <w:top w:val="nil"/>
            </w:tcBorders>
            <w:shd w:val="clear" w:color="auto" w:fill="FFFFFF"/>
          </w:tcPr>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III. Informacja:</w:t>
            </w:r>
          </w:p>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Środki pieniężne zgromadzone w… [nazwa banku prowadzącego mieszkaniowy rachunek powierniczy], prowadzącym otwarty mieszkaniowy rachunek powierniczy albo zamknięty mieszkaniowy rachunek powierniczy, są objęte ochroną obowiązkowego systemu gwarantowania depozytów, na zasadach określonych w ustawie z dnia 10 czerwca 2016 r. o Bankowym Funduszu Gwarancyjnym, systemie gwarantowania depozytów oraz przymusowej restrukturyzacji (Dz. U. z 2020 r. poz. 842).</w:t>
            </w:r>
          </w:p>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p>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Informacje podstawowe o obowiązkowym systemie gwarantowania depozytów:</w:t>
            </w:r>
          </w:p>
          <w:p w:rsidR="00EA1C22" w:rsidRPr="0068673E" w:rsidRDefault="00920895" w:rsidP="00DE3592">
            <w:pPr>
              <w:spacing w:beforeLines="60" w:afterLines="60" w:line="240" w:lineRule="auto"/>
              <w:ind w:left="313" w:hanging="313"/>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w:t>
            </w:r>
            <w:r w:rsidRPr="0068673E">
              <w:rPr>
                <w:rFonts w:ascii="Times New Roman" w:eastAsia="Times New Roman" w:hAnsi="Times New Roman" w:cs="Times New Roman"/>
                <w:sz w:val="20"/>
                <w:szCs w:val="20"/>
              </w:rPr>
              <w:tab/>
            </w:r>
            <w:r w:rsidR="00EA1C22" w:rsidRPr="0068673E">
              <w:rPr>
                <w:rFonts w:ascii="Times New Roman" w:eastAsia="Times New Roman" w:hAnsi="Times New Roman" w:cs="Times New Roman"/>
                <w:sz w:val="20"/>
                <w:szCs w:val="20"/>
              </w:rPr>
              <w:t>ochrona środków dotyczy sytuacji spełnienia warunku gwarancji wobec ………… [nazwa banku prowadzącego mieszkaniowy rachunek powierniczy],</w:t>
            </w:r>
          </w:p>
          <w:p w:rsidR="00EA1C22" w:rsidRPr="0068673E" w:rsidRDefault="00920895" w:rsidP="00DE3592">
            <w:pPr>
              <w:spacing w:beforeLines="60" w:afterLines="60" w:line="240" w:lineRule="auto"/>
              <w:ind w:left="313" w:hanging="313"/>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w:t>
            </w:r>
            <w:r w:rsidRPr="0068673E">
              <w:rPr>
                <w:rFonts w:ascii="Times New Roman" w:eastAsia="Times New Roman" w:hAnsi="Times New Roman" w:cs="Times New Roman"/>
                <w:sz w:val="20"/>
                <w:szCs w:val="20"/>
              </w:rPr>
              <w:tab/>
            </w:r>
            <w:r w:rsidR="00EA1C22" w:rsidRPr="0068673E">
              <w:rPr>
                <w:rFonts w:ascii="Times New Roman" w:eastAsia="Times New Roman" w:hAnsi="Times New Roman" w:cs="Times New Roman"/>
                <w:sz w:val="20"/>
                <w:szCs w:val="20"/>
              </w:rPr>
              <w:t xml:space="preserve">w przypadku rachunku powierniczego deponentem (uprawnionym do środków gwarantowanych) jest każdy z powierzających, w granicach wynikających z jego udziału w kwocie zgromadzonej na tym rachunku, a w </w:t>
            </w:r>
            <w:r w:rsidR="00EA1C22" w:rsidRPr="0068673E">
              <w:rPr>
                <w:rFonts w:ascii="Times New Roman" w:eastAsia="Times New Roman" w:hAnsi="Times New Roman" w:cs="Times New Roman"/>
                <w:sz w:val="20"/>
                <w:szCs w:val="20"/>
              </w:rPr>
              <w:lastRenderedPageBreak/>
              <w:t>granicach pozostałej kwoty na rachunku prawo do środków gwarantowanych ma powiernik,</w:t>
            </w:r>
          </w:p>
          <w:p w:rsidR="00EA1C22" w:rsidRPr="0068673E" w:rsidRDefault="00920895" w:rsidP="00DE3592">
            <w:pPr>
              <w:spacing w:beforeLines="60" w:afterLines="60" w:line="240" w:lineRule="auto"/>
              <w:ind w:left="313" w:hanging="313"/>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w:t>
            </w:r>
            <w:r w:rsidRPr="0068673E">
              <w:rPr>
                <w:rFonts w:ascii="Times New Roman" w:eastAsia="Times New Roman" w:hAnsi="Times New Roman" w:cs="Times New Roman"/>
                <w:sz w:val="20"/>
                <w:szCs w:val="20"/>
              </w:rPr>
              <w:tab/>
            </w:r>
            <w:r w:rsidR="00EA1C22" w:rsidRPr="0068673E">
              <w:rPr>
                <w:rFonts w:ascii="Times New Roman" w:eastAsia="Times New Roman" w:hAnsi="Times New Roman" w:cs="Times New Roman"/>
                <w:sz w:val="20"/>
                <w:szCs w:val="20"/>
              </w:rPr>
              <w:t>limit gwarancyjny przypadający na jednego deponent</w:t>
            </w:r>
            <w:r w:rsidR="004460C4" w:rsidRPr="0068673E">
              <w:rPr>
                <w:rFonts w:ascii="Times New Roman" w:eastAsia="Times New Roman" w:hAnsi="Times New Roman" w:cs="Times New Roman"/>
                <w:sz w:val="20"/>
                <w:szCs w:val="20"/>
              </w:rPr>
              <w:t>a to równowartość w złotych 100 </w:t>
            </w:r>
            <w:r w:rsidR="00EA1C22" w:rsidRPr="0068673E">
              <w:rPr>
                <w:rFonts w:ascii="Times New Roman" w:eastAsia="Times New Roman" w:hAnsi="Times New Roman" w:cs="Times New Roman"/>
                <w:sz w:val="20"/>
                <w:szCs w:val="20"/>
              </w:rPr>
              <w:t>000 euro; w przypadkach określonych w art. 24ust. 3 i 4 ustawy z dnia 10 czerwca 2016 r. o Bankowym Funduszu Gwarancyjnym, systemie gwarantowania depozytów oraz przymusowej restrukturyzacji, środki deponenta, w terminie 3 miesięcy od dnia ich wpływu na rachunek, objęte są gwarancjami p</w:t>
            </w:r>
            <w:r w:rsidR="00FD125F" w:rsidRPr="0068673E">
              <w:rPr>
                <w:rFonts w:ascii="Times New Roman" w:eastAsia="Times New Roman" w:hAnsi="Times New Roman" w:cs="Times New Roman"/>
                <w:sz w:val="20"/>
                <w:szCs w:val="20"/>
              </w:rPr>
              <w:t>onad równowartość w złotych 100 </w:t>
            </w:r>
            <w:r w:rsidR="00EA1C22" w:rsidRPr="0068673E">
              <w:rPr>
                <w:rFonts w:ascii="Times New Roman" w:eastAsia="Times New Roman" w:hAnsi="Times New Roman" w:cs="Times New Roman"/>
                <w:sz w:val="20"/>
                <w:szCs w:val="20"/>
              </w:rPr>
              <w:t>000 euro,</w:t>
            </w:r>
          </w:p>
          <w:p w:rsidR="00EA1C22" w:rsidRPr="0068673E" w:rsidRDefault="00920895" w:rsidP="00DE3592">
            <w:pPr>
              <w:spacing w:beforeLines="60" w:afterLines="60" w:line="240" w:lineRule="auto"/>
              <w:ind w:left="313" w:hanging="313"/>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w:t>
            </w:r>
            <w:r w:rsidRPr="0068673E">
              <w:rPr>
                <w:rFonts w:ascii="Times New Roman" w:eastAsia="Times New Roman" w:hAnsi="Times New Roman" w:cs="Times New Roman"/>
                <w:sz w:val="20"/>
                <w:szCs w:val="20"/>
              </w:rPr>
              <w:tab/>
            </w:r>
            <w:r w:rsidR="00EA1C22" w:rsidRPr="0068673E">
              <w:rPr>
                <w:rFonts w:ascii="Times New Roman" w:eastAsia="Times New Roman" w:hAnsi="Times New Roman" w:cs="Times New Roman"/>
                <w:sz w:val="20"/>
                <w:szCs w:val="20"/>
              </w:rPr>
              <w:t>podstawą wyliczenia kwoty środków gwarantowanych należnej deponentowi jest suma wszystkich podlegających ochronie należności tego deponenta od banku, w tym należności z tytułu środków zgromadzonych na jego rachunkach osobistych i z tytułu jego udziału w środkach zgromadzonych na rachunku powierniczym,</w:t>
            </w:r>
          </w:p>
          <w:p w:rsidR="00EA1C22" w:rsidRPr="0068673E" w:rsidRDefault="00920895" w:rsidP="00DE3592">
            <w:pPr>
              <w:spacing w:beforeLines="60" w:afterLines="60" w:line="240" w:lineRule="auto"/>
              <w:ind w:left="313" w:hanging="313"/>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w:t>
            </w:r>
            <w:r w:rsidRPr="0068673E">
              <w:rPr>
                <w:rFonts w:ascii="Times New Roman" w:eastAsia="Times New Roman" w:hAnsi="Times New Roman" w:cs="Times New Roman"/>
                <w:sz w:val="20"/>
                <w:szCs w:val="20"/>
              </w:rPr>
              <w:tab/>
            </w:r>
            <w:r w:rsidR="00EA1C22" w:rsidRPr="0068673E">
              <w:rPr>
                <w:rFonts w:ascii="Times New Roman" w:eastAsia="Times New Roman" w:hAnsi="Times New Roman" w:cs="Times New Roman"/>
                <w:sz w:val="20"/>
                <w:szCs w:val="20"/>
              </w:rPr>
              <w:t>wypłata środków gwarantowanych – co do zasady – następuje w terminie 7 dni roboczych od dnia spełnienia warunku gwarancji wobec banku,</w:t>
            </w:r>
          </w:p>
          <w:p w:rsidR="00EA1C22" w:rsidRPr="0068673E" w:rsidRDefault="00920895" w:rsidP="00DE3592">
            <w:pPr>
              <w:spacing w:beforeLines="60" w:afterLines="60" w:line="240" w:lineRule="auto"/>
              <w:ind w:left="313" w:hanging="313"/>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w:t>
            </w:r>
            <w:r w:rsidRPr="0068673E">
              <w:rPr>
                <w:rFonts w:ascii="Times New Roman" w:eastAsia="Times New Roman" w:hAnsi="Times New Roman" w:cs="Times New Roman"/>
                <w:sz w:val="20"/>
                <w:szCs w:val="20"/>
              </w:rPr>
              <w:tab/>
            </w:r>
            <w:r w:rsidR="00EA1C22" w:rsidRPr="0068673E">
              <w:rPr>
                <w:rFonts w:ascii="Times New Roman" w:eastAsia="Times New Roman" w:hAnsi="Times New Roman" w:cs="Times New Roman"/>
                <w:sz w:val="20"/>
                <w:szCs w:val="20"/>
              </w:rPr>
              <w:t>wypłata środków gwarantowanych jest dokonywana w złotych,</w:t>
            </w:r>
          </w:p>
          <w:p w:rsidR="00EA1C22" w:rsidRPr="0068673E" w:rsidRDefault="00920895" w:rsidP="00DE3592">
            <w:pPr>
              <w:spacing w:beforeLines="60" w:afterLines="60" w:line="240" w:lineRule="auto"/>
              <w:ind w:left="313" w:hanging="313"/>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w:t>
            </w:r>
            <w:r w:rsidRPr="0068673E">
              <w:rPr>
                <w:rFonts w:ascii="Times New Roman" w:eastAsia="Times New Roman" w:hAnsi="Times New Roman" w:cs="Times New Roman"/>
                <w:sz w:val="20"/>
                <w:szCs w:val="20"/>
              </w:rPr>
              <w:tab/>
            </w:r>
            <w:r w:rsidR="00EA1C22" w:rsidRPr="0068673E">
              <w:rPr>
                <w:rFonts w:ascii="Times New Roman" w:eastAsia="Times New Roman" w:hAnsi="Times New Roman" w:cs="Times New Roman"/>
                <w:sz w:val="20"/>
                <w:szCs w:val="20"/>
              </w:rPr>
              <w:t>………… [nazwa banku prowadzącego mieszkaniowy rachunek powierniczy] korzysta także z następujących znaków towarowych: …………</w:t>
            </w:r>
          </w:p>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Dalsze informacje na temat systemu gwarantowania depozytów można uzyskać na stronie internetowej Bankowego Funduszu Gwarancyjnego: https://www.bfg.pl/.</w:t>
            </w:r>
          </w:p>
          <w:p w:rsidR="00EA1C22" w:rsidRPr="0068673E" w:rsidRDefault="00EA1C22" w:rsidP="00DE3592">
            <w:pPr>
              <w:widowControl w:val="0"/>
              <w:numPr>
                <w:ilvl w:val="0"/>
                <w:numId w:val="2"/>
              </w:numPr>
              <w:tabs>
                <w:tab w:val="num" w:pos="314"/>
                <w:tab w:val="left" w:pos="728"/>
              </w:tabs>
              <w:autoSpaceDE w:val="0"/>
              <w:autoSpaceDN w:val="0"/>
              <w:adjustRightInd w:val="0"/>
              <w:spacing w:beforeLines="60" w:afterLines="60" w:line="240" w:lineRule="auto"/>
              <w:ind w:left="30"/>
              <w:contextualSpacing/>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 xml:space="preserve">Informacja zamieszczana w przypadku </w:t>
            </w:r>
            <w:r w:rsidRPr="0068673E">
              <w:rPr>
                <w:rFonts w:ascii="Times New Roman" w:eastAsia="Times New Roman" w:hAnsi="Times New Roman" w:cs="Times New Roman"/>
                <w:bCs/>
                <w:sz w:val="20"/>
                <w:szCs w:val="20"/>
              </w:rPr>
              <w:t>zawarcia umowy mieszkaniowego rachunku powierniczego z oddziałem instytucji kredytowej, o której mowa w art. 4 ust. 1 pkt 18 ustawy z dnia 29 sierpnia 1997 r. – Prawo bankowe (Dz. U. z 2020 r. poz. 1896, 2320 i 2419).</w:t>
            </w:r>
          </w:p>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bCs/>
                <w:sz w:val="20"/>
                <w:szCs w:val="20"/>
              </w:rPr>
              <w:t xml:space="preserve">Oddział instytucji kredytowej, w rozumieniu art. 4 ust. 1 pkt 18 ustawy z dnia 29 sierpnia 1997 r. </w:t>
            </w:r>
            <w:r w:rsidR="00FD125F" w:rsidRPr="0068673E">
              <w:rPr>
                <w:rFonts w:ascii="Times New Roman" w:eastAsia="Times New Roman" w:hAnsi="Times New Roman" w:cs="Times New Roman"/>
                <w:bCs/>
                <w:sz w:val="20"/>
                <w:szCs w:val="20"/>
              </w:rPr>
              <w:t xml:space="preserve">– </w:t>
            </w:r>
            <w:r w:rsidRPr="0068673E">
              <w:rPr>
                <w:rFonts w:ascii="Times New Roman" w:eastAsia="Times New Roman" w:hAnsi="Times New Roman" w:cs="Times New Roman"/>
                <w:bCs/>
                <w:sz w:val="20"/>
                <w:szCs w:val="20"/>
              </w:rPr>
              <w:t>Prawo bankowe jest objęty systemem gwarantowania państwa macierzystego, co oznacza, że nie mają do niego zastosowania przepisyustawy z dnia 10 czerwca 2016 r. o Bankowym Funduszu Gwarancyjnym systemie gwarantowania depozytów oraz przymusowej restrukturyzacji.</w:t>
            </w:r>
          </w:p>
        </w:tc>
      </w:tr>
    </w:tbl>
    <w:p w:rsidR="00A80C58" w:rsidRPr="0068673E" w:rsidRDefault="00A80C58" w:rsidP="00DE3592">
      <w:pPr>
        <w:spacing w:beforeLines="60" w:afterLines="60" w:line="240" w:lineRule="auto"/>
        <w:jc w:val="right"/>
        <w:rPr>
          <w:rFonts w:ascii="Times New Roman" w:eastAsia="Times New Roman" w:hAnsi="Times New Roman" w:cs="Times New Roman"/>
          <w:b/>
          <w:sz w:val="20"/>
          <w:szCs w:val="20"/>
        </w:rPr>
      </w:pPr>
    </w:p>
    <w:p w:rsidR="00EA1C22" w:rsidRPr="0068673E" w:rsidRDefault="00EA1C22" w:rsidP="00DE3592">
      <w:pPr>
        <w:spacing w:beforeLines="60" w:afterLines="60" w:line="240" w:lineRule="auto"/>
        <w:jc w:val="both"/>
        <w:rPr>
          <w:rFonts w:ascii="Times New Roman" w:eastAsia="Times New Roman" w:hAnsi="Times New Roman" w:cs="Times New Roman"/>
          <w:b/>
          <w:sz w:val="20"/>
          <w:szCs w:val="20"/>
        </w:rPr>
      </w:pPr>
      <w:r w:rsidRPr="0068673E">
        <w:rPr>
          <w:rFonts w:ascii="Times New Roman" w:eastAsia="Times New Roman" w:hAnsi="Times New Roman" w:cs="Times New Roman"/>
          <w:b/>
          <w:sz w:val="20"/>
          <w:szCs w:val="20"/>
        </w:rPr>
        <w:t>CZĘŚĆ INDYWIDUALNA</w:t>
      </w:r>
    </w:p>
    <w:p w:rsidR="00EA1C22" w:rsidRPr="0068673E" w:rsidRDefault="00EA1C22" w:rsidP="00DE3592">
      <w:pPr>
        <w:spacing w:beforeLines="60" w:afterLines="60" w:line="240" w:lineRule="auto"/>
        <w:rPr>
          <w:rFonts w:ascii="Times New Roman" w:eastAsia="Times New Roman" w:hAnsi="Times New Roman" w:cs="Times New Roman"/>
          <w:b/>
          <w:sz w:val="20"/>
          <w:szCs w:val="20"/>
        </w:rPr>
      </w:pPr>
    </w:p>
    <w:tbl>
      <w:tblPr>
        <w:tblStyle w:val="Tabela-Siatka111"/>
        <w:tblW w:w="0" w:type="auto"/>
        <w:tblLook w:val="04A0"/>
      </w:tblPr>
      <w:tblGrid>
        <w:gridCol w:w="3071"/>
        <w:gridCol w:w="3069"/>
        <w:gridCol w:w="2904"/>
      </w:tblGrid>
      <w:tr w:rsidR="00EA1C22" w:rsidRPr="0068673E" w:rsidTr="00E6102C">
        <w:tc>
          <w:tcPr>
            <w:tcW w:w="3071" w:type="dxa"/>
            <w:tcBorders>
              <w:bottom w:val="single" w:sz="4" w:space="0" w:color="auto"/>
            </w:tcBorders>
            <w:shd w:val="clear" w:color="auto" w:fill="F2F2F2"/>
          </w:tcPr>
          <w:p w:rsidR="00EA1C22" w:rsidRPr="0068673E" w:rsidRDefault="00EA1C22" w:rsidP="00DE3592">
            <w:pPr>
              <w:spacing w:beforeLines="60" w:afterLines="60"/>
              <w:jc w:val="both"/>
            </w:pPr>
            <w:r w:rsidRPr="0068673E">
              <w:t>Cena lokalu mieszkalnego albo domu jednorodzinnego</w:t>
            </w:r>
          </w:p>
        </w:tc>
        <w:tc>
          <w:tcPr>
            <w:tcW w:w="5973" w:type="dxa"/>
            <w:gridSpan w:val="2"/>
          </w:tcPr>
          <w:p w:rsidR="00EA1C22" w:rsidRPr="0068673E" w:rsidRDefault="00874DC9" w:rsidP="00DE3592">
            <w:pPr>
              <w:spacing w:beforeLines="60" w:afterLines="60"/>
              <w:rPr>
                <w:b/>
              </w:rPr>
            </w:pPr>
            <w:r w:rsidRPr="0068673E">
              <w:rPr>
                <w:sz w:val="24"/>
                <w:szCs w:val="24"/>
              </w:rPr>
              <w:t>1365430,50zł</w:t>
            </w:r>
          </w:p>
        </w:tc>
      </w:tr>
      <w:tr w:rsidR="00EA1C22" w:rsidRPr="0068673E" w:rsidTr="00E6102C">
        <w:tc>
          <w:tcPr>
            <w:tcW w:w="3071" w:type="dxa"/>
            <w:tcBorders>
              <w:bottom w:val="single" w:sz="4" w:space="0" w:color="auto"/>
            </w:tcBorders>
            <w:shd w:val="clear" w:color="auto" w:fill="F2F2F2"/>
          </w:tcPr>
          <w:p w:rsidR="00EA1C22" w:rsidRPr="0068673E" w:rsidRDefault="00EA1C22" w:rsidP="00DE3592">
            <w:pPr>
              <w:spacing w:beforeLines="60" w:afterLines="60"/>
              <w:jc w:val="both"/>
            </w:pPr>
            <w:r w:rsidRPr="0068673E">
              <w:t>Powierzchnia użytkowa lokalu mieszkalnego albo domu jednorodzinnego</w:t>
            </w:r>
          </w:p>
        </w:tc>
        <w:tc>
          <w:tcPr>
            <w:tcW w:w="5973" w:type="dxa"/>
            <w:gridSpan w:val="2"/>
          </w:tcPr>
          <w:p w:rsidR="00EA1C22" w:rsidRPr="0068673E" w:rsidRDefault="00874DC9" w:rsidP="00DE3592">
            <w:pPr>
              <w:spacing w:beforeLines="60" w:afterLines="60"/>
              <w:rPr>
                <w:b/>
              </w:rPr>
            </w:pPr>
            <w:r w:rsidRPr="0068673E">
              <w:rPr>
                <w:b/>
              </w:rPr>
              <w:t>144,49m2</w:t>
            </w:r>
          </w:p>
        </w:tc>
      </w:tr>
      <w:tr w:rsidR="00EA1C22" w:rsidRPr="0068673E" w:rsidTr="00E6102C">
        <w:tc>
          <w:tcPr>
            <w:tcW w:w="3071" w:type="dxa"/>
            <w:tcBorders>
              <w:bottom w:val="single" w:sz="4" w:space="0" w:color="auto"/>
            </w:tcBorders>
            <w:shd w:val="clear" w:color="auto" w:fill="F2F2F2"/>
          </w:tcPr>
          <w:p w:rsidR="00EA1C22" w:rsidRPr="0068673E" w:rsidRDefault="00EA1C22" w:rsidP="00DE3592">
            <w:pPr>
              <w:spacing w:beforeLines="60" w:afterLines="60"/>
              <w:jc w:val="both"/>
            </w:pPr>
            <w:r w:rsidRPr="0068673E">
              <w:t>Cena m</w:t>
            </w:r>
            <w:r w:rsidRPr="0068673E">
              <w:rPr>
                <w:vertAlign w:val="superscript"/>
              </w:rPr>
              <w:t>2</w:t>
            </w:r>
            <w:r w:rsidRPr="0068673E">
              <w:t xml:space="preserve"> powierzchni użytkowej lokalu mieszkalnego albo domu jednorodzinnego</w:t>
            </w:r>
          </w:p>
        </w:tc>
        <w:tc>
          <w:tcPr>
            <w:tcW w:w="5973" w:type="dxa"/>
            <w:gridSpan w:val="2"/>
          </w:tcPr>
          <w:p w:rsidR="00EA1C22" w:rsidRPr="0068673E" w:rsidRDefault="001C40E5" w:rsidP="00DE3592">
            <w:pPr>
              <w:spacing w:beforeLines="60" w:afterLines="60"/>
              <w:rPr>
                <w:b/>
              </w:rPr>
            </w:pPr>
            <w:r w:rsidRPr="0068673E">
              <w:rPr>
                <w:b/>
              </w:rPr>
              <w:t>9450zł</w:t>
            </w:r>
          </w:p>
        </w:tc>
      </w:tr>
      <w:tr w:rsidR="00EA1C22" w:rsidRPr="0068673E" w:rsidTr="00EF63EF">
        <w:tc>
          <w:tcPr>
            <w:tcW w:w="3071" w:type="dxa"/>
            <w:tcBorders>
              <w:bottom w:val="single" w:sz="4" w:space="0" w:color="auto"/>
            </w:tcBorders>
            <w:shd w:val="clear" w:color="auto" w:fill="F2F2F2"/>
          </w:tcPr>
          <w:p w:rsidR="00EA1C22" w:rsidRPr="0068673E" w:rsidRDefault="00EA1C22" w:rsidP="00DE3592">
            <w:pPr>
              <w:spacing w:beforeLines="60" w:afterLines="60"/>
              <w:jc w:val="both"/>
            </w:pPr>
            <w:r w:rsidRPr="0068673E">
              <w:t xml:space="preserve">Termin, do którego nastąpi przeniesienie prawa własności nieruchomości wynikającego z umowy deweloperskiej lub jednej z umów, o których mowa w art. 2 ust. 1 pkt 2, 3 lub 5 lub ust. 2 ustawy z dnia … o ochronie praw nabywcy lokalu mieszkalnego lub domu jednorodzinnego oraz o Deweloperskim Funduszu Gwarancyjnym </w:t>
            </w:r>
          </w:p>
        </w:tc>
        <w:tc>
          <w:tcPr>
            <w:tcW w:w="5973" w:type="dxa"/>
            <w:gridSpan w:val="2"/>
          </w:tcPr>
          <w:p w:rsidR="00EA1C22" w:rsidRPr="0068673E" w:rsidRDefault="007D644E" w:rsidP="00DE3592">
            <w:pPr>
              <w:spacing w:beforeLines="60" w:afterLines="60"/>
              <w:rPr>
                <w:b/>
              </w:rPr>
            </w:pPr>
            <w:r w:rsidRPr="0068673E">
              <w:rPr>
                <w:b/>
              </w:rPr>
              <w:t xml:space="preserve">30 </w:t>
            </w:r>
            <w:r w:rsidR="00DE3592">
              <w:rPr>
                <w:b/>
              </w:rPr>
              <w:t>lipca</w:t>
            </w:r>
            <w:r w:rsidR="001C40E5" w:rsidRPr="0068673E">
              <w:rPr>
                <w:b/>
              </w:rPr>
              <w:t xml:space="preserve"> 2026r.</w:t>
            </w:r>
          </w:p>
        </w:tc>
      </w:tr>
      <w:tr w:rsidR="00EA1C22" w:rsidRPr="0068673E" w:rsidTr="00EF63EF">
        <w:tc>
          <w:tcPr>
            <w:tcW w:w="3071" w:type="dxa"/>
            <w:tcBorders>
              <w:bottom w:val="nil"/>
            </w:tcBorders>
            <w:shd w:val="clear" w:color="auto" w:fill="F2F2F2"/>
          </w:tcPr>
          <w:p w:rsidR="00EA1C22" w:rsidRPr="0068673E" w:rsidRDefault="00EA1C22" w:rsidP="00DE3592">
            <w:pPr>
              <w:spacing w:beforeLines="60" w:afterLines="60"/>
              <w:jc w:val="both"/>
            </w:pPr>
            <w:r w:rsidRPr="0068673E">
              <w:t xml:space="preserve">Określenie położenia oraz istotnych cech domu jednorodzinnego albo budynku, w </w:t>
            </w:r>
            <w:r w:rsidRPr="0068673E">
              <w:lastRenderedPageBreak/>
              <w:t>którym ma znajdować się lokal mieszkalny będący przedmiotem umowy rezerwacyjnej albo umowy deweloperskiej</w:t>
            </w:r>
            <w:r w:rsidR="00FD125F" w:rsidRPr="0068673E">
              <w:t>,</w:t>
            </w:r>
            <w:r w:rsidRPr="0068673E">
              <w:t xml:space="preserve"> albo umowy, o której mowa w art. 2 ust. 1 pkt 2, 3 lub 5 lub umów, o których mowa w art. 2 ust. 2 ustawyz dnia … o ochronie praw nabywcy lokalu mieszkalnego lub domu jednorodzinnego oraz o Deweloperskim Funduszu Gwarancyjnym</w:t>
            </w:r>
          </w:p>
        </w:tc>
        <w:tc>
          <w:tcPr>
            <w:tcW w:w="3069" w:type="dxa"/>
            <w:vMerge w:val="restart"/>
          </w:tcPr>
          <w:p w:rsidR="00EA1C22" w:rsidRPr="0068673E" w:rsidRDefault="00EA1C22" w:rsidP="00DE3592">
            <w:pPr>
              <w:spacing w:beforeLines="60" w:afterLines="60"/>
            </w:pPr>
            <w:r w:rsidRPr="0068673E">
              <w:lastRenderedPageBreak/>
              <w:t>Liczba kondygnacji</w:t>
            </w:r>
          </w:p>
        </w:tc>
        <w:tc>
          <w:tcPr>
            <w:tcW w:w="2904" w:type="dxa"/>
            <w:vMerge w:val="restart"/>
          </w:tcPr>
          <w:p w:rsidR="00EA1C22" w:rsidRPr="0068673E" w:rsidRDefault="001C40E5" w:rsidP="00DE3592">
            <w:pPr>
              <w:spacing w:beforeLines="60" w:afterLines="60"/>
              <w:rPr>
                <w:b/>
              </w:rPr>
            </w:pPr>
            <w:r w:rsidRPr="0068673E">
              <w:rPr>
                <w:b/>
              </w:rPr>
              <w:t>2</w:t>
            </w:r>
          </w:p>
        </w:tc>
      </w:tr>
      <w:tr w:rsidR="00EA1C22" w:rsidRPr="0068673E" w:rsidTr="00A80C58">
        <w:trPr>
          <w:trHeight w:val="56"/>
        </w:trPr>
        <w:tc>
          <w:tcPr>
            <w:tcW w:w="3071" w:type="dxa"/>
            <w:tcBorders>
              <w:top w:val="nil"/>
              <w:bottom w:val="nil"/>
            </w:tcBorders>
            <w:shd w:val="clear" w:color="auto" w:fill="F2F2F2"/>
          </w:tcPr>
          <w:p w:rsidR="00EA1C22" w:rsidRPr="0068673E" w:rsidRDefault="00EA1C22" w:rsidP="00DE3592">
            <w:pPr>
              <w:spacing w:beforeLines="60" w:afterLines="60"/>
              <w:rPr>
                <w:b/>
              </w:rPr>
            </w:pPr>
          </w:p>
        </w:tc>
        <w:tc>
          <w:tcPr>
            <w:tcW w:w="3069" w:type="dxa"/>
            <w:vMerge/>
          </w:tcPr>
          <w:p w:rsidR="00EA1C22" w:rsidRPr="0068673E" w:rsidRDefault="00EA1C22" w:rsidP="00DE3592">
            <w:pPr>
              <w:spacing w:beforeLines="60" w:afterLines="60"/>
            </w:pPr>
          </w:p>
        </w:tc>
        <w:tc>
          <w:tcPr>
            <w:tcW w:w="2904" w:type="dxa"/>
            <w:vMerge/>
          </w:tcPr>
          <w:p w:rsidR="00EA1C22" w:rsidRPr="0068673E" w:rsidRDefault="00EA1C22" w:rsidP="00DE3592">
            <w:pPr>
              <w:spacing w:beforeLines="60" w:afterLines="60"/>
              <w:rPr>
                <w:b/>
              </w:rPr>
            </w:pPr>
          </w:p>
        </w:tc>
      </w:tr>
      <w:tr w:rsidR="00EA1C22" w:rsidRPr="0068673E" w:rsidTr="007D644E">
        <w:trPr>
          <w:trHeight w:val="222"/>
        </w:trPr>
        <w:tc>
          <w:tcPr>
            <w:tcW w:w="3071" w:type="dxa"/>
            <w:tcBorders>
              <w:top w:val="nil"/>
              <w:bottom w:val="single" w:sz="4" w:space="0" w:color="auto"/>
            </w:tcBorders>
            <w:shd w:val="clear" w:color="auto" w:fill="F2F2F2"/>
          </w:tcPr>
          <w:p w:rsidR="00EA1C22" w:rsidRPr="0068673E" w:rsidRDefault="00EA1C22" w:rsidP="00DE3592">
            <w:pPr>
              <w:spacing w:beforeLines="60" w:afterLines="60"/>
              <w:rPr>
                <w:b/>
              </w:rPr>
            </w:pPr>
          </w:p>
        </w:tc>
        <w:tc>
          <w:tcPr>
            <w:tcW w:w="3069" w:type="dxa"/>
          </w:tcPr>
          <w:p w:rsidR="00EA1C22" w:rsidRPr="0068673E" w:rsidRDefault="00EA1C22" w:rsidP="00DE3592">
            <w:pPr>
              <w:spacing w:beforeLines="60" w:afterLines="60"/>
            </w:pPr>
            <w:r w:rsidRPr="0068673E">
              <w:t xml:space="preserve">Technologia wykonania </w:t>
            </w:r>
          </w:p>
        </w:tc>
        <w:tc>
          <w:tcPr>
            <w:tcW w:w="2904" w:type="dxa"/>
          </w:tcPr>
          <w:p w:rsidR="00EA1C22" w:rsidRPr="0068673E" w:rsidRDefault="001C40E5" w:rsidP="00DE3592">
            <w:pPr>
              <w:spacing w:beforeLines="60" w:afterLines="60"/>
              <w:rPr>
                <w:b/>
              </w:rPr>
            </w:pPr>
            <w:r w:rsidRPr="0068673E">
              <w:rPr>
                <w:b/>
              </w:rPr>
              <w:t>standardowa</w:t>
            </w:r>
          </w:p>
        </w:tc>
      </w:tr>
      <w:tr w:rsidR="00EA1C22" w:rsidRPr="0068673E" w:rsidTr="00A80C58">
        <w:tc>
          <w:tcPr>
            <w:tcW w:w="3071" w:type="dxa"/>
            <w:tcBorders>
              <w:top w:val="single" w:sz="4" w:space="0" w:color="auto"/>
              <w:bottom w:val="nil"/>
            </w:tcBorders>
            <w:shd w:val="clear" w:color="auto" w:fill="F2F2F2"/>
          </w:tcPr>
          <w:p w:rsidR="00EA1C22" w:rsidRPr="0068673E" w:rsidRDefault="00EA1C22" w:rsidP="00DE3592">
            <w:pPr>
              <w:spacing w:beforeLines="60" w:afterLines="60"/>
              <w:rPr>
                <w:b/>
              </w:rPr>
            </w:pPr>
          </w:p>
        </w:tc>
        <w:tc>
          <w:tcPr>
            <w:tcW w:w="3069" w:type="dxa"/>
          </w:tcPr>
          <w:p w:rsidR="00EA1C22" w:rsidRPr="0068673E" w:rsidRDefault="00EA1C22" w:rsidP="00DE3592">
            <w:pPr>
              <w:spacing w:beforeLines="60" w:afterLines="60"/>
            </w:pPr>
            <w:r w:rsidRPr="0068673E">
              <w:t>Standard prac wykończeniowych w części wspólnej budynku i terenie wokół niego, stanowiącym część wspólną nieruchomości</w:t>
            </w:r>
          </w:p>
        </w:tc>
        <w:tc>
          <w:tcPr>
            <w:tcW w:w="2904" w:type="dxa"/>
          </w:tcPr>
          <w:p w:rsidR="001C40E5" w:rsidRPr="0068673E" w:rsidRDefault="001C40E5" w:rsidP="00DE3592">
            <w:pPr>
              <w:spacing w:beforeLines="60" w:afterLines="60"/>
              <w:rPr>
                <w:b/>
              </w:rPr>
            </w:pPr>
            <w:r w:rsidRPr="0068673E">
              <w:rPr>
                <w:b/>
              </w:rPr>
              <w:t>Podjazdy- kostka betonowa,</w:t>
            </w:r>
          </w:p>
          <w:p w:rsidR="001C40E5" w:rsidRPr="0068673E" w:rsidRDefault="001C40E5" w:rsidP="00DE3592">
            <w:pPr>
              <w:spacing w:beforeLines="60" w:afterLines="60"/>
              <w:rPr>
                <w:b/>
              </w:rPr>
            </w:pPr>
            <w:r w:rsidRPr="0068673E">
              <w:rPr>
                <w:b/>
              </w:rPr>
              <w:t>Mur oporowy typu L</w:t>
            </w:r>
          </w:p>
          <w:p w:rsidR="001C40E5" w:rsidRPr="0068673E" w:rsidRDefault="001C40E5" w:rsidP="00DE3592">
            <w:pPr>
              <w:spacing w:beforeLines="60" w:afterLines="60"/>
              <w:rPr>
                <w:b/>
              </w:rPr>
            </w:pPr>
            <w:r w:rsidRPr="0068673E">
              <w:rPr>
                <w:b/>
              </w:rPr>
              <w:t>Ogrodzenie Panelowe</w:t>
            </w:r>
          </w:p>
        </w:tc>
      </w:tr>
      <w:tr w:rsidR="00EA1C22" w:rsidRPr="0068673E" w:rsidTr="00E6102C">
        <w:tc>
          <w:tcPr>
            <w:tcW w:w="3071" w:type="dxa"/>
            <w:tcBorders>
              <w:top w:val="nil"/>
              <w:bottom w:val="nil"/>
            </w:tcBorders>
            <w:shd w:val="clear" w:color="auto" w:fill="F2F2F2"/>
          </w:tcPr>
          <w:p w:rsidR="00EA1C22" w:rsidRPr="0068673E" w:rsidRDefault="00EA1C22" w:rsidP="00DE3592">
            <w:pPr>
              <w:spacing w:beforeLines="60" w:afterLines="60"/>
              <w:rPr>
                <w:b/>
              </w:rPr>
            </w:pPr>
          </w:p>
        </w:tc>
        <w:tc>
          <w:tcPr>
            <w:tcW w:w="3069" w:type="dxa"/>
          </w:tcPr>
          <w:p w:rsidR="00EA1C22" w:rsidRPr="0068673E" w:rsidRDefault="00EA1C22" w:rsidP="00DE3592">
            <w:pPr>
              <w:spacing w:beforeLines="60" w:afterLines="60"/>
            </w:pPr>
            <w:r w:rsidRPr="0068673E">
              <w:t>Liczba lokali w budynku</w:t>
            </w:r>
          </w:p>
        </w:tc>
        <w:tc>
          <w:tcPr>
            <w:tcW w:w="2904" w:type="dxa"/>
          </w:tcPr>
          <w:p w:rsidR="00EA1C22" w:rsidRPr="0068673E" w:rsidRDefault="001C40E5" w:rsidP="00DE3592">
            <w:pPr>
              <w:spacing w:beforeLines="60" w:afterLines="60"/>
              <w:rPr>
                <w:b/>
              </w:rPr>
            </w:pPr>
            <w:r w:rsidRPr="0068673E">
              <w:rPr>
                <w:b/>
              </w:rPr>
              <w:t>2</w:t>
            </w:r>
          </w:p>
        </w:tc>
      </w:tr>
      <w:tr w:rsidR="00EA1C22" w:rsidRPr="0068673E" w:rsidTr="00E6102C">
        <w:tc>
          <w:tcPr>
            <w:tcW w:w="3071" w:type="dxa"/>
            <w:tcBorders>
              <w:top w:val="nil"/>
              <w:bottom w:val="nil"/>
            </w:tcBorders>
            <w:shd w:val="clear" w:color="auto" w:fill="F2F2F2"/>
          </w:tcPr>
          <w:p w:rsidR="00EA1C22" w:rsidRPr="0068673E" w:rsidRDefault="00EA1C22" w:rsidP="00DE3592">
            <w:pPr>
              <w:spacing w:beforeLines="60" w:afterLines="60"/>
              <w:rPr>
                <w:b/>
              </w:rPr>
            </w:pPr>
          </w:p>
        </w:tc>
        <w:tc>
          <w:tcPr>
            <w:tcW w:w="3069" w:type="dxa"/>
          </w:tcPr>
          <w:p w:rsidR="00EA1C22" w:rsidRPr="0068673E" w:rsidRDefault="00EA1C22" w:rsidP="00DE3592">
            <w:pPr>
              <w:spacing w:beforeLines="60" w:afterLines="60"/>
            </w:pPr>
            <w:r w:rsidRPr="0068673E">
              <w:t>Liczba miejsc garażowych i postojowych</w:t>
            </w:r>
          </w:p>
        </w:tc>
        <w:tc>
          <w:tcPr>
            <w:tcW w:w="2904" w:type="dxa"/>
          </w:tcPr>
          <w:p w:rsidR="00EA1C22" w:rsidRPr="0068673E" w:rsidRDefault="001C40E5" w:rsidP="00DE3592">
            <w:pPr>
              <w:spacing w:beforeLines="60" w:afterLines="60"/>
              <w:rPr>
                <w:b/>
              </w:rPr>
            </w:pPr>
            <w:r w:rsidRPr="0068673E">
              <w:rPr>
                <w:b/>
              </w:rPr>
              <w:t>5</w:t>
            </w:r>
          </w:p>
        </w:tc>
      </w:tr>
      <w:tr w:rsidR="00EA1C22" w:rsidRPr="0068673E" w:rsidTr="00E6102C">
        <w:tc>
          <w:tcPr>
            <w:tcW w:w="3071" w:type="dxa"/>
            <w:tcBorders>
              <w:top w:val="nil"/>
              <w:bottom w:val="nil"/>
            </w:tcBorders>
            <w:shd w:val="clear" w:color="auto" w:fill="F2F2F2"/>
          </w:tcPr>
          <w:p w:rsidR="00EA1C22" w:rsidRPr="0068673E" w:rsidRDefault="00EA1C22" w:rsidP="00DE3592">
            <w:pPr>
              <w:spacing w:beforeLines="60" w:afterLines="60"/>
              <w:rPr>
                <w:b/>
              </w:rPr>
            </w:pPr>
          </w:p>
        </w:tc>
        <w:tc>
          <w:tcPr>
            <w:tcW w:w="3069" w:type="dxa"/>
          </w:tcPr>
          <w:p w:rsidR="00EA1C22" w:rsidRPr="0068673E" w:rsidRDefault="00EA1C22" w:rsidP="00DE3592">
            <w:pPr>
              <w:spacing w:beforeLines="60" w:afterLines="60"/>
            </w:pPr>
            <w:r w:rsidRPr="0068673E">
              <w:t>Dostępne media w budynku</w:t>
            </w:r>
          </w:p>
        </w:tc>
        <w:tc>
          <w:tcPr>
            <w:tcW w:w="2904" w:type="dxa"/>
          </w:tcPr>
          <w:p w:rsidR="00EA1C22" w:rsidRPr="0068673E" w:rsidRDefault="001C40E5" w:rsidP="00DE3592">
            <w:pPr>
              <w:spacing w:beforeLines="60" w:afterLines="60"/>
              <w:rPr>
                <w:b/>
              </w:rPr>
            </w:pPr>
            <w:r w:rsidRPr="0068673E">
              <w:rPr>
                <w:b/>
              </w:rPr>
              <w:t>Woda, prąd,</w:t>
            </w:r>
          </w:p>
        </w:tc>
      </w:tr>
      <w:tr w:rsidR="00EA1C22" w:rsidRPr="0068673E" w:rsidTr="00E6102C">
        <w:tc>
          <w:tcPr>
            <w:tcW w:w="3071" w:type="dxa"/>
            <w:tcBorders>
              <w:top w:val="nil"/>
              <w:bottom w:val="single" w:sz="4" w:space="0" w:color="auto"/>
            </w:tcBorders>
            <w:shd w:val="clear" w:color="auto" w:fill="F2F2F2"/>
          </w:tcPr>
          <w:p w:rsidR="00EA1C22" w:rsidRPr="0068673E" w:rsidRDefault="00EA1C22" w:rsidP="00DE3592">
            <w:pPr>
              <w:spacing w:beforeLines="60" w:afterLines="60"/>
              <w:rPr>
                <w:b/>
              </w:rPr>
            </w:pPr>
          </w:p>
        </w:tc>
        <w:tc>
          <w:tcPr>
            <w:tcW w:w="3069" w:type="dxa"/>
          </w:tcPr>
          <w:p w:rsidR="00EA1C22" w:rsidRPr="0068673E" w:rsidRDefault="00EA1C22" w:rsidP="00DE3592">
            <w:pPr>
              <w:spacing w:beforeLines="60" w:afterLines="60"/>
            </w:pPr>
            <w:r w:rsidRPr="0068673E">
              <w:t>Dostęp do drogi publicznej</w:t>
            </w:r>
          </w:p>
        </w:tc>
        <w:tc>
          <w:tcPr>
            <w:tcW w:w="2904" w:type="dxa"/>
          </w:tcPr>
          <w:p w:rsidR="00EA1C22" w:rsidRPr="0068673E" w:rsidRDefault="001C40E5" w:rsidP="00DE3592">
            <w:pPr>
              <w:spacing w:beforeLines="60" w:afterLines="60"/>
              <w:rPr>
                <w:b/>
              </w:rPr>
            </w:pPr>
            <w:r w:rsidRPr="0068673E">
              <w:rPr>
                <w:b/>
              </w:rPr>
              <w:t>jest</w:t>
            </w:r>
          </w:p>
        </w:tc>
      </w:tr>
      <w:tr w:rsidR="00EA1C22" w:rsidRPr="0068673E" w:rsidTr="00E6102C">
        <w:tc>
          <w:tcPr>
            <w:tcW w:w="3071" w:type="dxa"/>
            <w:tcBorders>
              <w:top w:val="single" w:sz="4" w:space="0" w:color="auto"/>
              <w:bottom w:val="single" w:sz="4" w:space="0" w:color="auto"/>
            </w:tcBorders>
            <w:shd w:val="clear" w:color="auto" w:fill="F2F2F2"/>
          </w:tcPr>
          <w:p w:rsidR="00EA1C22" w:rsidRPr="0068673E" w:rsidRDefault="00EA1C22" w:rsidP="00DE3592">
            <w:pPr>
              <w:spacing w:beforeLines="60" w:afterLines="60"/>
              <w:jc w:val="both"/>
            </w:pPr>
            <w:r w:rsidRPr="0068673E">
              <w:t>Określenie usytuowania lokalu mieszkalnego w budynku, jeżeli przedsięwzięcie deweloperskie albo zadanie inwestycyjne dotyczy lokali mieszkalnych</w:t>
            </w:r>
          </w:p>
        </w:tc>
        <w:tc>
          <w:tcPr>
            <w:tcW w:w="5973" w:type="dxa"/>
            <w:gridSpan w:val="2"/>
          </w:tcPr>
          <w:p w:rsidR="00EA1C22" w:rsidRPr="0068673E" w:rsidRDefault="00AB412E" w:rsidP="00DE3592">
            <w:pPr>
              <w:spacing w:beforeLines="60" w:afterLines="60"/>
              <w:rPr>
                <w:b/>
              </w:rPr>
            </w:pPr>
            <w:r w:rsidRPr="0068673E">
              <w:rPr>
                <w:b/>
              </w:rPr>
              <w:t>2 lokale mieszkaniowe wraz z garażami w bryle budynku</w:t>
            </w:r>
          </w:p>
        </w:tc>
      </w:tr>
      <w:tr w:rsidR="00EA1C22" w:rsidRPr="0068673E" w:rsidTr="00E6102C">
        <w:tc>
          <w:tcPr>
            <w:tcW w:w="3071" w:type="dxa"/>
            <w:tcBorders>
              <w:top w:val="single" w:sz="4" w:space="0" w:color="auto"/>
              <w:bottom w:val="single" w:sz="4" w:space="0" w:color="auto"/>
            </w:tcBorders>
            <w:shd w:val="clear" w:color="auto" w:fill="F2F2F2"/>
          </w:tcPr>
          <w:p w:rsidR="00EA1C22" w:rsidRPr="0068673E" w:rsidRDefault="00EA1C22" w:rsidP="00DE3592">
            <w:pPr>
              <w:spacing w:beforeLines="60" w:afterLines="60"/>
              <w:jc w:val="both"/>
            </w:pPr>
            <w:r w:rsidRPr="0068673E">
              <w:t>Określenie powierzchni użytkoweji układu pomieszczeń oraz zakresu i standardu prac wykończeniowych, do których wykonania zobowiązuje się deweloper</w:t>
            </w:r>
          </w:p>
        </w:tc>
        <w:tc>
          <w:tcPr>
            <w:tcW w:w="5973" w:type="dxa"/>
            <w:gridSpan w:val="2"/>
          </w:tcPr>
          <w:p w:rsidR="00EA1C22" w:rsidRPr="0068673E" w:rsidRDefault="00AB412E" w:rsidP="00DE3592">
            <w:pPr>
              <w:spacing w:beforeLines="60" w:afterLines="60"/>
              <w:rPr>
                <w:b/>
              </w:rPr>
            </w:pPr>
            <w:r w:rsidRPr="0068673E">
              <w:rPr>
                <w:b/>
              </w:rPr>
              <w:t>144,49m2, stan deweloperski na lokal składa się salon, kuchnia, gabinet, 2</w:t>
            </w:r>
            <w:r w:rsidR="0068673E">
              <w:rPr>
                <w:b/>
              </w:rPr>
              <w:t xml:space="preserve"> łazienki</w:t>
            </w:r>
            <w:r w:rsidRPr="0068673E">
              <w:rPr>
                <w:b/>
              </w:rPr>
              <w:t xml:space="preserve">, 3 sypialnie, garderoba, garaż. Przygotowanie systemu rekuperacji(bez rekuperatora), pompa ciepła. </w:t>
            </w:r>
          </w:p>
        </w:tc>
      </w:tr>
      <w:tr w:rsidR="00EA1C22" w:rsidRPr="0068673E" w:rsidTr="00E6102C">
        <w:trPr>
          <w:trHeight w:val="1035"/>
        </w:trPr>
        <w:tc>
          <w:tcPr>
            <w:tcW w:w="3071" w:type="dxa"/>
            <w:tcBorders>
              <w:top w:val="single" w:sz="4" w:space="0" w:color="auto"/>
              <w:bottom w:val="single" w:sz="4" w:space="0" w:color="auto"/>
            </w:tcBorders>
            <w:shd w:val="clear" w:color="auto" w:fill="F2F2F2"/>
          </w:tcPr>
          <w:p w:rsidR="00EA1C22" w:rsidRPr="0068673E" w:rsidRDefault="00EA1C22" w:rsidP="00DE3592">
            <w:pPr>
              <w:widowControl w:val="0"/>
              <w:autoSpaceDE w:val="0"/>
              <w:autoSpaceDN w:val="0"/>
              <w:adjustRightInd w:val="0"/>
              <w:spacing w:beforeLines="60" w:afterLines="60"/>
            </w:pPr>
            <w:r w:rsidRPr="0068673E">
              <w:t>Data wydania zaświadczenia o samodzielności lokalu mieszkalnego</w:t>
            </w:r>
          </w:p>
        </w:tc>
        <w:tc>
          <w:tcPr>
            <w:tcW w:w="5973" w:type="dxa"/>
            <w:gridSpan w:val="2"/>
          </w:tcPr>
          <w:p w:rsidR="00EA1C22" w:rsidRPr="0068673E" w:rsidRDefault="00EA1C22" w:rsidP="00DE3592">
            <w:pPr>
              <w:spacing w:beforeLines="60" w:afterLines="60"/>
              <w:rPr>
                <w:b/>
              </w:rPr>
            </w:pPr>
          </w:p>
        </w:tc>
      </w:tr>
      <w:tr w:rsidR="00EA1C22" w:rsidRPr="0068673E" w:rsidTr="00E6102C">
        <w:trPr>
          <w:trHeight w:val="1050"/>
        </w:trPr>
        <w:tc>
          <w:tcPr>
            <w:tcW w:w="3071" w:type="dxa"/>
            <w:tcBorders>
              <w:top w:val="single" w:sz="4" w:space="0" w:color="auto"/>
              <w:bottom w:val="single" w:sz="4" w:space="0" w:color="auto"/>
            </w:tcBorders>
            <w:shd w:val="clear" w:color="auto" w:fill="F2F2F2"/>
          </w:tcPr>
          <w:p w:rsidR="00EA1C22" w:rsidRPr="0068673E" w:rsidRDefault="00EA1C22" w:rsidP="00DE3592">
            <w:pPr>
              <w:widowControl w:val="0"/>
              <w:autoSpaceDE w:val="0"/>
              <w:autoSpaceDN w:val="0"/>
              <w:adjustRightInd w:val="0"/>
              <w:spacing w:beforeLines="60" w:afterLines="60"/>
            </w:pPr>
            <w:r w:rsidRPr="0068673E">
              <w:t>Data ustanowienia odrębnej własności lokalu mieszkalnego</w:t>
            </w:r>
          </w:p>
        </w:tc>
        <w:tc>
          <w:tcPr>
            <w:tcW w:w="5973" w:type="dxa"/>
            <w:gridSpan w:val="2"/>
          </w:tcPr>
          <w:p w:rsidR="00EA1C22" w:rsidRPr="0068673E" w:rsidRDefault="00EA1C22" w:rsidP="00DE3592">
            <w:pPr>
              <w:spacing w:beforeLines="60" w:afterLines="60"/>
              <w:rPr>
                <w:b/>
              </w:rPr>
            </w:pPr>
          </w:p>
        </w:tc>
      </w:tr>
      <w:tr w:rsidR="00EA1C22" w:rsidRPr="0068673E" w:rsidTr="00E6102C">
        <w:tc>
          <w:tcPr>
            <w:tcW w:w="3071" w:type="dxa"/>
            <w:tcBorders>
              <w:top w:val="single" w:sz="4" w:space="0" w:color="auto"/>
              <w:bottom w:val="single" w:sz="4" w:space="0" w:color="auto"/>
            </w:tcBorders>
            <w:shd w:val="clear" w:color="auto" w:fill="F2F2F2"/>
          </w:tcPr>
          <w:p w:rsidR="00EA1C22" w:rsidRPr="0068673E" w:rsidRDefault="00EA1C22" w:rsidP="00DE3592">
            <w:pPr>
              <w:spacing w:beforeLines="60" w:afterLines="60"/>
              <w:jc w:val="both"/>
            </w:pPr>
            <w:r w:rsidRPr="0068673E">
              <w:t xml:space="preserve">Informacje o lokalu użytkowymnabywanym równocześnie z lokalem mieszkalnym albo domem </w:t>
            </w:r>
            <w:r w:rsidRPr="0068673E">
              <w:lastRenderedPageBreak/>
              <w:t>jednorodzinnym</w:t>
            </w:r>
          </w:p>
        </w:tc>
        <w:tc>
          <w:tcPr>
            <w:tcW w:w="5973" w:type="dxa"/>
            <w:gridSpan w:val="2"/>
          </w:tcPr>
          <w:p w:rsidR="00EA1C22" w:rsidRPr="0068673E" w:rsidRDefault="00EA1C22" w:rsidP="00DE3592">
            <w:pPr>
              <w:spacing w:beforeLines="60" w:afterLines="60"/>
              <w:rPr>
                <w:b/>
              </w:rPr>
            </w:pPr>
          </w:p>
        </w:tc>
      </w:tr>
      <w:tr w:rsidR="00EA1C22" w:rsidRPr="0068673E" w:rsidTr="00E6102C">
        <w:tc>
          <w:tcPr>
            <w:tcW w:w="3071" w:type="dxa"/>
            <w:tcBorders>
              <w:top w:val="single" w:sz="4" w:space="0" w:color="auto"/>
              <w:bottom w:val="single" w:sz="4" w:space="0" w:color="auto"/>
            </w:tcBorders>
            <w:shd w:val="clear" w:color="auto" w:fill="F2F2F2"/>
          </w:tcPr>
          <w:p w:rsidR="00EA1C22" w:rsidRPr="0068673E" w:rsidRDefault="00EA1C22" w:rsidP="00DE3592">
            <w:pPr>
              <w:spacing w:beforeLines="60" w:afterLines="60"/>
              <w:jc w:val="both"/>
            </w:pPr>
            <w:r w:rsidRPr="0068673E">
              <w:lastRenderedPageBreak/>
              <w:t xml:space="preserve">Cenę lokalu użytkowego alboułamkowej części własności lokalu użytkowego </w:t>
            </w:r>
          </w:p>
        </w:tc>
        <w:tc>
          <w:tcPr>
            <w:tcW w:w="5973" w:type="dxa"/>
            <w:gridSpan w:val="2"/>
          </w:tcPr>
          <w:p w:rsidR="00EA1C22" w:rsidRPr="0068673E" w:rsidRDefault="00EA1C22" w:rsidP="00DE3592">
            <w:pPr>
              <w:spacing w:beforeLines="60" w:afterLines="60"/>
              <w:rPr>
                <w:b/>
              </w:rPr>
            </w:pPr>
          </w:p>
        </w:tc>
      </w:tr>
      <w:tr w:rsidR="00EA1C22" w:rsidRPr="0068673E" w:rsidTr="00E6102C">
        <w:tc>
          <w:tcPr>
            <w:tcW w:w="3071" w:type="dxa"/>
            <w:tcBorders>
              <w:top w:val="single" w:sz="4" w:space="0" w:color="auto"/>
              <w:bottom w:val="single" w:sz="4" w:space="0" w:color="auto"/>
            </w:tcBorders>
            <w:shd w:val="clear" w:color="auto" w:fill="F2F2F2"/>
          </w:tcPr>
          <w:p w:rsidR="00EA1C22" w:rsidRPr="0068673E" w:rsidRDefault="00EA1C22" w:rsidP="00DE3592">
            <w:pPr>
              <w:spacing w:beforeLines="60" w:afterLines="60"/>
              <w:jc w:val="both"/>
            </w:pPr>
            <w:r w:rsidRPr="0068673E">
              <w:t>Termin, do którego nastąpi przeniesienie prawa własności lokalu użytkowego albo ułamkowej części własności lokalu użytkowego</w:t>
            </w:r>
          </w:p>
        </w:tc>
        <w:tc>
          <w:tcPr>
            <w:tcW w:w="5973" w:type="dxa"/>
            <w:gridSpan w:val="2"/>
          </w:tcPr>
          <w:p w:rsidR="00EA1C22" w:rsidRPr="0068673E" w:rsidRDefault="00EA1C22" w:rsidP="00DE3592">
            <w:pPr>
              <w:spacing w:beforeLines="60" w:afterLines="60"/>
              <w:rPr>
                <w:b/>
              </w:rPr>
            </w:pPr>
          </w:p>
        </w:tc>
      </w:tr>
    </w:tbl>
    <w:p w:rsidR="00EA1C22" w:rsidRPr="0068673E" w:rsidRDefault="00EA1C22" w:rsidP="00DE3592">
      <w:pPr>
        <w:spacing w:beforeLines="60" w:afterLines="60" w:line="240" w:lineRule="auto"/>
        <w:rPr>
          <w:rFonts w:ascii="Times New Roman" w:eastAsia="Times New Roman" w:hAnsi="Times New Roman" w:cs="Times New Roman"/>
          <w:b/>
          <w:sz w:val="20"/>
          <w:szCs w:val="20"/>
        </w:rPr>
      </w:pPr>
    </w:p>
    <w:p w:rsidR="00EA1C22" w:rsidRPr="0068673E" w:rsidRDefault="00EA1C22" w:rsidP="00DE3592">
      <w:pPr>
        <w:spacing w:beforeLines="60" w:afterLines="60" w:line="240" w:lineRule="auto"/>
        <w:jc w:val="right"/>
        <w:rPr>
          <w:rFonts w:ascii="Times New Roman" w:eastAsia="Times New Roman" w:hAnsi="Times New Roman" w:cs="Times New Roman"/>
          <w:b/>
          <w:sz w:val="20"/>
          <w:szCs w:val="20"/>
        </w:rPr>
      </w:pPr>
      <w:r w:rsidRPr="0068673E">
        <w:rPr>
          <w:rFonts w:ascii="Times New Roman" w:eastAsia="Times New Roman" w:hAnsi="Times New Roman" w:cs="Times New Roman"/>
          <w:b/>
          <w:sz w:val="20"/>
          <w:szCs w:val="20"/>
        </w:rPr>
        <w:t>Podpis osoby upoważnionej do reprezentacji dewelopera</w:t>
      </w:r>
    </w:p>
    <w:p w:rsidR="00920895" w:rsidRPr="0068673E" w:rsidRDefault="00920895" w:rsidP="00DE3592">
      <w:pPr>
        <w:spacing w:beforeLines="60" w:afterLines="60" w:line="240" w:lineRule="auto"/>
        <w:jc w:val="right"/>
        <w:rPr>
          <w:rFonts w:ascii="Times New Roman" w:eastAsia="Times New Roman" w:hAnsi="Times New Roman" w:cs="Times New Roman"/>
          <w:b/>
          <w:sz w:val="20"/>
          <w:szCs w:val="20"/>
        </w:rPr>
      </w:pPr>
    </w:p>
    <w:p w:rsidR="00EA1C22" w:rsidRPr="0068673E" w:rsidRDefault="00AB412E" w:rsidP="00DE3592">
      <w:pPr>
        <w:spacing w:beforeLines="60" w:afterLines="60" w:line="240" w:lineRule="auto"/>
        <w:jc w:val="right"/>
        <w:rPr>
          <w:rFonts w:ascii="Times New Roman" w:eastAsia="Times New Roman" w:hAnsi="Times New Roman" w:cs="Times New Roman"/>
          <w:b/>
          <w:sz w:val="20"/>
          <w:szCs w:val="20"/>
        </w:rPr>
      </w:pPr>
      <w:r w:rsidRPr="0068673E">
        <w:rPr>
          <w:rFonts w:ascii="Times New Roman" w:eastAsia="Times New Roman" w:hAnsi="Times New Roman" w:cs="Times New Roman"/>
          <w:b/>
          <w:sz w:val="20"/>
          <w:szCs w:val="20"/>
        </w:rPr>
        <w:t>Wiktor Bachorski</w:t>
      </w:r>
    </w:p>
    <w:p w:rsidR="00EA1C22" w:rsidRPr="0068673E" w:rsidRDefault="00EA1C22" w:rsidP="00DE3592">
      <w:pPr>
        <w:spacing w:beforeLines="60" w:afterLines="60" w:line="240" w:lineRule="auto"/>
        <w:jc w:val="both"/>
        <w:rPr>
          <w:rFonts w:ascii="Times New Roman" w:eastAsia="Times New Roman" w:hAnsi="Times New Roman" w:cs="Times New Roman"/>
          <w:b/>
          <w:sz w:val="20"/>
          <w:szCs w:val="20"/>
        </w:rPr>
      </w:pPr>
    </w:p>
    <w:p w:rsidR="00EA1C22" w:rsidRPr="0068673E" w:rsidRDefault="00EA1C22" w:rsidP="00DE3592">
      <w:pPr>
        <w:spacing w:beforeLines="60" w:afterLines="60" w:line="240" w:lineRule="auto"/>
        <w:jc w:val="both"/>
        <w:rPr>
          <w:rFonts w:ascii="Times New Roman" w:eastAsia="Times New Roman" w:hAnsi="Times New Roman" w:cs="Times New Roman"/>
          <w:b/>
          <w:sz w:val="20"/>
          <w:szCs w:val="20"/>
        </w:rPr>
      </w:pPr>
    </w:p>
    <w:p w:rsidR="00EA1C22" w:rsidRPr="0068673E" w:rsidRDefault="007E6C45" w:rsidP="00DE3592">
      <w:pPr>
        <w:spacing w:beforeLines="60" w:afterLines="60" w:line="240" w:lineRule="auto"/>
        <w:jc w:val="both"/>
        <w:rPr>
          <w:rFonts w:ascii="Times New Roman" w:eastAsia="Times New Roman" w:hAnsi="Times New Roman" w:cs="Times New Roman"/>
          <w:b/>
          <w:sz w:val="20"/>
          <w:szCs w:val="20"/>
        </w:rPr>
      </w:pPr>
      <w:r w:rsidRPr="007E6C45">
        <w:rPr>
          <w:rFonts w:ascii="Times New Roman" w:eastAsia="Times New Roman" w:hAnsi="Times New Roman" w:cs="Times New Roman"/>
          <w:noProof/>
          <w:sz w:val="20"/>
          <w:szCs w:val="20"/>
          <w:lang w:eastAsia="pl-PL"/>
        </w:rPr>
        <w:pict>
          <v:line id="Line 20" o:spid="_x0000_s1026" style="position:absolute;left:0;text-align:left;flip:y;z-index:251660288;visibility:visible;mso-wrap-distance-top:-3e-5mm;mso-wrap-distance-bottom:-3e-5mm" from="-63pt,.8pt" to="53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SoutwEAAFMDAAAOAAAAZHJzL2Uyb0RvYy54bWysU01v2zAMvQ/YfxB0X+ykyxoYcXpI1126&#10;LUDb3Rl92EJlURCV2Pn3k9Q0LbbbMB8Eih9Pj4/0+mYaLDuqQAZdy+ezmjPlBErjupY/Pd59WnFG&#10;EZwEi061/KSI32w+fliPvlEL7NFKFVgCcdSMvuV9jL6pKhK9GoBm6JVLQY1hgJiuoatkgDGhD7Za&#10;1PWXasQgfUChiJL39iXINwVfayXiT61JRWZbnrjFcoZy7vNZbdbQdAF8b8SZBvwDiwGMS49eoG4h&#10;AjsE8xfUYERAQh1nAocKtTZClR5SN/P6j24eevCq9JLEIX+Rif4frPhx3LpdyNTF5B78PYpnYg63&#10;PbhOFQKPJ58GN89SVaOn5lKSL+R3ge3H7yhTDhwiFhUmHQamrfG/cmEGT52yqch+usiupshEcl4v&#10;P1+t6jQd8RqroMkQudAHit8UDiwbLbfGZUWggeM9xUzpLSW7Hd4Za8tUrWNjyxer5fWyVBBaI3M0&#10;51Ho9lsb2BHyYpSvNJgi79MCHpwsaL0C+fVsRzD2xU6vW3fWJUuR946aPcrTLrzqlSZXaJ63LK/G&#10;+3upfvsXNr8BAAD//wMAUEsDBBQABgAIAAAAIQAGeuBx3AAAAAkBAAAPAAAAZHJzL2Rvd25yZXYu&#10;eG1sTI/BTsMwEETvSPyDtUhcUGs3B6tK41QICcSBSwMf4MRLEhGvQ+w2ab+eLRc47sxo9k2xX/wg&#10;TjjFPpCBzVqBQGqC66k18PH+vNqCiMmSs0MgNHDGCPvy9qawuQszHfBUpVZwCcXcGuhSGnMpY9Oh&#10;t3EdRiT2PsPkbeJzaqWb7MzlfpCZUlp62xN/6OyITx02X9XRGzjUW/v2qr6rcCZ9mS9VfHkYG2Pu&#10;75bHHYiES/oLwxWf0aFkpjocyUUxGFhtMs1jEjsaxDWgdMZC/SvIspD/F5Q/AAAA//8DAFBLAQIt&#10;ABQABgAIAAAAIQC2gziS/gAAAOEBAAATAAAAAAAAAAAAAAAAAAAAAABbQ29udGVudF9UeXBlc10u&#10;eG1sUEsBAi0AFAAGAAgAAAAhADj9If/WAAAAlAEAAAsAAAAAAAAAAAAAAAAALwEAAF9yZWxzLy5y&#10;ZWxzUEsBAi0AFAAGAAgAAAAhAGD1Ki63AQAAUwMAAA4AAAAAAAAAAAAAAAAALgIAAGRycy9lMm9E&#10;b2MueG1sUEsBAi0AFAAGAAgAAAAhAAZ64HHcAAAACQEAAA8AAAAAAAAAAAAAAAAAEQQAAGRycy9k&#10;b3ducmV2LnhtbFBLBQYAAAAABAAEAPMAAAAaBQAAAAA=&#10;" strokeweight="2.25pt"/>
        </w:pict>
      </w:r>
    </w:p>
    <w:p w:rsidR="00EA1C22" w:rsidRPr="0068673E" w:rsidRDefault="00EA1C22" w:rsidP="00DE3592">
      <w:pPr>
        <w:spacing w:beforeLines="60" w:afterLines="60" w:line="240" w:lineRule="auto"/>
        <w:jc w:val="both"/>
        <w:rPr>
          <w:rFonts w:ascii="Times New Roman" w:eastAsia="Times New Roman" w:hAnsi="Times New Roman" w:cs="Times New Roman"/>
          <w:b/>
          <w:sz w:val="20"/>
          <w:szCs w:val="20"/>
        </w:rPr>
      </w:pPr>
      <w:r w:rsidRPr="0068673E">
        <w:rPr>
          <w:rFonts w:ascii="Times New Roman" w:eastAsia="Times New Roman" w:hAnsi="Times New Roman" w:cs="Times New Roman"/>
          <w:b/>
          <w:sz w:val="20"/>
          <w:szCs w:val="20"/>
        </w:rPr>
        <w:t>Załączniki:</w:t>
      </w:r>
    </w:p>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1. Rzut kondygnacji z zaznaczeniem lokalu mieszkalnego.</w:t>
      </w:r>
    </w:p>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2. Wzór umowy deweloperskiej lub umowy, o której mowa w art. 2 ust. 1 pkt 2, 3 lub 5 ustawy z dnia …o ochronie praw nabywcy lokalu mieszkalnego lub domu jednorodzinnego oraz o Deweloperskim Funduszu Gwarancyjnym.</w:t>
      </w:r>
    </w:p>
    <w:p w:rsidR="00EA1C22" w:rsidRPr="0068673E" w:rsidRDefault="00EA1C22"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 xml:space="preserve">3. Szkic koncepcji zagospodarowania terenu inwestycji i jego otoczenia z zaznaczeniem budynku oraz istotnych uwarunkowań lokalizacji inwestycji wynikających z przepisów odrębnych oraz z istniejącego i planowanego stanu użytkowania terenów sąsiednich (np. z funkcji terenu, stref ochronnych, uciążliwości). </w:t>
      </w:r>
    </w:p>
    <w:p w:rsidR="007D644E" w:rsidRPr="0068673E" w:rsidRDefault="007D644E" w:rsidP="00DE3592">
      <w:pPr>
        <w:spacing w:beforeLines="60" w:afterLines="60" w:line="240" w:lineRule="auto"/>
        <w:jc w:val="both"/>
        <w:rPr>
          <w:rFonts w:ascii="Times New Roman" w:eastAsia="Times New Roman" w:hAnsi="Times New Roman" w:cs="Times New Roman"/>
          <w:sz w:val="20"/>
          <w:szCs w:val="20"/>
        </w:rPr>
      </w:pPr>
      <w:r w:rsidRPr="0068673E">
        <w:rPr>
          <w:rFonts w:ascii="Times New Roman" w:eastAsia="Times New Roman" w:hAnsi="Times New Roman" w:cs="Times New Roman"/>
          <w:sz w:val="20"/>
          <w:szCs w:val="20"/>
        </w:rPr>
        <w:t>4. Załącznik nr 1 do Prospektu Informacyjnego - Harmonogram prac</w:t>
      </w:r>
    </w:p>
    <w:p w:rsidR="00EA1C22" w:rsidRPr="00EA1C22" w:rsidRDefault="007E6C45" w:rsidP="00DE3592">
      <w:pPr>
        <w:spacing w:beforeLines="60" w:afterLines="60" w:line="240" w:lineRule="auto"/>
        <w:jc w:val="both"/>
        <w:rPr>
          <w:rFonts w:ascii="Times New Roman" w:eastAsia="Times New Roman" w:hAnsi="Times New Roman" w:cs="Times New Roman"/>
          <w:b/>
          <w:sz w:val="20"/>
          <w:szCs w:val="20"/>
        </w:rPr>
      </w:pPr>
      <w:r w:rsidRPr="007E6C45">
        <w:rPr>
          <w:rFonts w:ascii="Times New Roman" w:eastAsia="Times New Roman" w:hAnsi="Times New Roman" w:cs="Times New Roman"/>
          <w:noProof/>
          <w:sz w:val="20"/>
          <w:szCs w:val="20"/>
          <w:lang w:eastAsia="pl-PL"/>
        </w:rPr>
        <w:pict>
          <v:line id="Line 19" o:spid="_x0000_s1027" style="position:absolute;left:0;text-align:left;flip:y;z-index:251661312;visibility:visible;mso-wrap-distance-top:-3e-5mm;mso-wrap-distance-bottom:-3e-5mm" from="-63pt,6.65pt" to="531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SoutwEAAFMDAAAOAAAAZHJzL2Uyb0RvYy54bWysU01v2zAMvQ/YfxB0X+ykyxoYcXpI1126&#10;LUDb3Rl92EJlURCV2Pn3k9Q0LbbbMB8Eih9Pj4/0+mYaLDuqQAZdy+ezmjPlBErjupY/Pd59WnFG&#10;EZwEi061/KSI32w+fliPvlEL7NFKFVgCcdSMvuV9jL6pKhK9GoBm6JVLQY1hgJiuoatkgDGhD7Za&#10;1PWXasQgfUChiJL39iXINwVfayXiT61JRWZbnrjFcoZy7vNZbdbQdAF8b8SZBvwDiwGMS49eoG4h&#10;AjsE8xfUYERAQh1nAocKtTZClR5SN/P6j24eevCq9JLEIX+Rif4frPhx3LpdyNTF5B78PYpnYg63&#10;PbhOFQKPJ58GN89SVaOn5lKSL+R3ge3H7yhTDhwiFhUmHQamrfG/cmEGT52yqch+usiupshEcl4v&#10;P1+t6jQd8RqroMkQudAHit8UDiwbLbfGZUWggeM9xUzpLSW7Hd4Za8tUrWNjyxer5fWyVBBaI3M0&#10;51Ho9lsb2BHyYpSvNJgi79MCHpwsaL0C+fVsRzD2xU6vW3fWJUuR946aPcrTLrzqlSZXaJ63LK/G&#10;+3upfvsXNr8BAAD//wMAUEsDBBQABgAIAAAAIQAd/zv23gAAAAsBAAAPAAAAZHJzL2Rvd25yZXYu&#10;eG1sTI/BTsMwEETvSPyDtUhcUGs3laIqxKkqJBAHLg39gE28JFHjdYjdJu3X44oDHHdmNPsm3862&#10;F2cafedYw2qpQBDXznTcaDh8vi42IHxANtg7Jg0X8rAt7u9yzIybeE/nMjQilrDPUEMbwpBJ6euW&#10;LPqlG4ij9+VGiyGeYyPNiFMst71MlEqlxY7jhxYHemmpPpYnq2FfbfDjXX2X7sLpdbqW/u1pqLV+&#10;fJh3zyACzeEvDDf8iA5FZKrciY0XvYbFKknjmBCd9RrELaHSJCrVryKLXP7fUPwAAAD//wMAUEsB&#10;Ai0AFAAGAAgAAAAhALaDOJL+AAAA4QEAABMAAAAAAAAAAAAAAAAAAAAAAFtDb250ZW50X1R5cGVz&#10;XS54bWxQSwECLQAUAAYACAAAACEAOP0h/9YAAACUAQAACwAAAAAAAAAAAAAAAAAvAQAAX3JlbHMv&#10;LnJlbHNQSwECLQAUAAYACAAAACEAYPUqLrcBAABTAwAADgAAAAAAAAAAAAAAAAAuAgAAZHJzL2Uy&#10;b0RvYy54bWxQSwECLQAUAAYACAAAACEAHf879t4AAAALAQAADwAAAAAAAAAAAAAAAAARBAAAZHJz&#10;L2Rvd25yZXYueG1sUEsFBgAAAAAEAAQA8wAAABwFAAAAAA==&#10;" strokeweight="2.25pt"/>
        </w:pict>
      </w:r>
    </w:p>
    <w:p w:rsidR="007F577D" w:rsidRDefault="007F577D"/>
    <w:sectPr w:rsidR="007F577D" w:rsidSect="00A80C58">
      <w:footerReference w:type="default" r:id="rId7"/>
      <w:footerReference w:type="first" r:id="rId8"/>
      <w:footnotePr>
        <w:numRestart w:val="eachPage"/>
      </w:footnotePr>
      <w:pgSz w:w="11906" w:h="16838"/>
      <w:pgMar w:top="1417" w:right="1417" w:bottom="1417" w:left="1417" w:header="709" w:footer="709" w:gutter="0"/>
      <w:cols w:space="708"/>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17F5" w:rsidRDefault="002917F5" w:rsidP="00EA1C22">
      <w:pPr>
        <w:spacing w:after="0" w:line="240" w:lineRule="auto"/>
      </w:pPr>
      <w:r>
        <w:separator/>
      </w:r>
    </w:p>
  </w:endnote>
  <w:endnote w:type="continuationSeparator" w:id="1">
    <w:p w:rsidR="002917F5" w:rsidRDefault="002917F5" w:rsidP="00EA1C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Univers-PL">
    <w:altName w:val="Klee One"/>
    <w:panose1 w:val="00000000000000000000"/>
    <w:charset w:val="80"/>
    <w:family w:val="auto"/>
    <w:notTrueType/>
    <w:pitch w:val="default"/>
    <w:sig w:usb0="00000001" w:usb1="08070000" w:usb2="00000010" w:usb3="00000000" w:csb0="00020000" w:csb1="00000000"/>
  </w:font>
  <w:font w:name="Montserrat">
    <w:altName w:val="Times New Roman"/>
    <w:charset w:val="EE"/>
    <w:family w:val="auto"/>
    <w:pitch w:val="variable"/>
    <w:sig w:usb0="00000001" w:usb1="00000003" w:usb2="00000000" w:usb3="00000000" w:csb0="00000197"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071566"/>
      <w:docPartObj>
        <w:docPartGallery w:val="Page Numbers (Bottom of Page)"/>
        <w:docPartUnique/>
      </w:docPartObj>
    </w:sdtPr>
    <w:sdtEndPr>
      <w:rPr>
        <w:rFonts w:ascii="Times New Roman" w:hAnsi="Times New Roman" w:cs="Times New Roman"/>
        <w:sz w:val="24"/>
      </w:rPr>
    </w:sdtEndPr>
    <w:sdtContent>
      <w:p w:rsidR="00E6102C" w:rsidRPr="007E3E4D" w:rsidRDefault="007E6C45" w:rsidP="007E3E4D">
        <w:pPr>
          <w:pStyle w:val="Stopka"/>
          <w:jc w:val="center"/>
          <w:rPr>
            <w:rFonts w:ascii="Times New Roman" w:hAnsi="Times New Roman" w:cs="Times New Roman"/>
            <w:sz w:val="24"/>
          </w:rPr>
        </w:pPr>
        <w:r w:rsidRPr="00143535">
          <w:rPr>
            <w:rFonts w:ascii="Times New Roman" w:hAnsi="Times New Roman" w:cs="Times New Roman"/>
            <w:sz w:val="24"/>
          </w:rPr>
          <w:fldChar w:fldCharType="begin"/>
        </w:r>
        <w:r w:rsidR="00E6102C" w:rsidRPr="00143535">
          <w:rPr>
            <w:rFonts w:ascii="Times New Roman" w:hAnsi="Times New Roman" w:cs="Times New Roman"/>
            <w:sz w:val="24"/>
          </w:rPr>
          <w:instrText>PAGE   \* MERGEFORMAT</w:instrText>
        </w:r>
        <w:r w:rsidRPr="00143535">
          <w:rPr>
            <w:rFonts w:ascii="Times New Roman" w:hAnsi="Times New Roman" w:cs="Times New Roman"/>
            <w:sz w:val="24"/>
          </w:rPr>
          <w:fldChar w:fldCharType="separate"/>
        </w:r>
        <w:r w:rsidR="00DE3592">
          <w:rPr>
            <w:rFonts w:ascii="Times New Roman" w:hAnsi="Times New Roman" w:cs="Times New Roman"/>
            <w:noProof/>
            <w:sz w:val="24"/>
          </w:rPr>
          <w:t>12</w:t>
        </w:r>
        <w:r w:rsidRPr="00143535">
          <w:rPr>
            <w:rFonts w:ascii="Times New Roman" w:hAnsi="Times New Roman" w:cs="Times New Roman"/>
            <w:sz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2C" w:rsidRDefault="00E6102C">
    <w:pPr>
      <w:pStyle w:val="Stopka"/>
      <w:jc w:val="center"/>
    </w:pPr>
  </w:p>
  <w:p w:rsidR="00E6102C" w:rsidRDefault="00E6102C">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17F5" w:rsidRDefault="002917F5" w:rsidP="00EA1C22">
      <w:pPr>
        <w:spacing w:after="0" w:line="240" w:lineRule="auto"/>
      </w:pPr>
      <w:r>
        <w:separator/>
      </w:r>
    </w:p>
  </w:footnote>
  <w:footnote w:type="continuationSeparator" w:id="1">
    <w:p w:rsidR="002917F5" w:rsidRDefault="002917F5" w:rsidP="00EA1C22">
      <w:pPr>
        <w:spacing w:after="0" w:line="240" w:lineRule="auto"/>
      </w:pPr>
      <w:r>
        <w:continuationSeparator/>
      </w:r>
    </w:p>
  </w:footnote>
  <w:footnote w:id="2">
    <w:p w:rsidR="00E6102C" w:rsidRPr="009017DC" w:rsidRDefault="00E6102C" w:rsidP="007E3E4D">
      <w:pPr>
        <w:pStyle w:val="Tekstprzypisudolnego"/>
        <w:ind w:left="284" w:hanging="284"/>
        <w:jc w:val="both"/>
        <w:rPr>
          <w:rFonts w:ascii="Times New Roman" w:hAnsi="Times New Roman"/>
          <w:sz w:val="18"/>
          <w:szCs w:val="18"/>
        </w:rPr>
      </w:pPr>
      <w:r w:rsidRPr="00BD376F">
        <w:rPr>
          <w:rStyle w:val="Odwoanieprzypisudolnego"/>
          <w:rFonts w:ascii="Times New Roman" w:hAnsi="Times New Roman"/>
          <w:sz w:val="18"/>
          <w:szCs w:val="18"/>
        </w:rPr>
        <w:t>1)</w:t>
      </w:r>
      <w:r>
        <w:rPr>
          <w:rFonts w:ascii="Times New Roman" w:hAnsi="Times New Roman"/>
          <w:sz w:val="18"/>
          <w:szCs w:val="18"/>
        </w:rPr>
        <w:tab/>
      </w:r>
      <w:r w:rsidRPr="00BD376F">
        <w:rPr>
          <w:rFonts w:ascii="Times New Roman" w:hAnsi="Times New Roman"/>
          <w:sz w:val="18"/>
          <w:szCs w:val="18"/>
        </w:rPr>
        <w:t>J</w:t>
      </w:r>
      <w:r w:rsidRPr="009017DC">
        <w:rPr>
          <w:rFonts w:ascii="Times New Roman" w:hAnsi="Times New Roman"/>
          <w:sz w:val="18"/>
          <w:szCs w:val="18"/>
        </w:rPr>
        <w:t>eżeli działka nie posiada adresu, należy opisowo określić jej położenie</w:t>
      </w:r>
      <w:r>
        <w:rPr>
          <w:rFonts w:ascii="Times New Roman" w:hAnsi="Times New Roman"/>
          <w:sz w:val="18"/>
          <w:szCs w:val="18"/>
        </w:rPr>
        <w:t>.</w:t>
      </w:r>
    </w:p>
  </w:footnote>
  <w:footnote w:id="3">
    <w:p w:rsidR="00E6102C" w:rsidRPr="00143535" w:rsidRDefault="00E6102C" w:rsidP="00143535">
      <w:pPr>
        <w:pStyle w:val="Tekstprzypisudolnego"/>
        <w:ind w:left="284" w:hanging="284"/>
        <w:jc w:val="both"/>
        <w:rPr>
          <w:rFonts w:ascii="Times New Roman" w:hAnsi="Times New Roman" w:cs="Times New Roman"/>
          <w:sz w:val="18"/>
          <w:szCs w:val="18"/>
        </w:rPr>
      </w:pPr>
      <w:r w:rsidRPr="00143535">
        <w:rPr>
          <w:rStyle w:val="Odwoanieprzypisudolnego"/>
          <w:rFonts w:ascii="Times New Roman" w:hAnsi="Times New Roman"/>
          <w:sz w:val="18"/>
          <w:szCs w:val="18"/>
        </w:rPr>
        <w:t>2)</w:t>
      </w:r>
      <w:r>
        <w:rPr>
          <w:rFonts w:ascii="Times New Roman" w:hAnsi="Times New Roman" w:cs="Times New Roman"/>
          <w:sz w:val="18"/>
          <w:szCs w:val="18"/>
        </w:rPr>
        <w:tab/>
      </w:r>
      <w:r w:rsidRPr="00143535">
        <w:rPr>
          <w:rFonts w:ascii="Times New Roman" w:hAnsi="Times New Roman" w:cs="Times New Roman"/>
          <w:sz w:val="18"/>
          <w:szCs w:val="18"/>
        </w:rPr>
        <w:t>W szczególności imię i nazwisko albo firma właściciela lub użytkownika wieczystego oraz istniejące obciążenia na nieruchomości.</w:t>
      </w:r>
    </w:p>
  </w:footnote>
  <w:footnote w:id="4">
    <w:p w:rsidR="00E6102C" w:rsidRPr="00143535" w:rsidRDefault="00E6102C" w:rsidP="00143535">
      <w:pPr>
        <w:pStyle w:val="Tekstprzypisudolnego"/>
        <w:ind w:left="284" w:hanging="284"/>
        <w:jc w:val="both"/>
        <w:rPr>
          <w:rFonts w:ascii="Times New Roman" w:hAnsi="Times New Roman" w:cs="Times New Roman"/>
          <w:sz w:val="18"/>
          <w:szCs w:val="18"/>
        </w:rPr>
      </w:pPr>
      <w:r w:rsidRPr="00143535">
        <w:rPr>
          <w:rStyle w:val="Odwoanieprzypisudolnego"/>
          <w:rFonts w:ascii="Times New Roman" w:hAnsi="Times New Roman"/>
          <w:sz w:val="18"/>
          <w:szCs w:val="18"/>
        </w:rPr>
        <w:t>3)</w:t>
      </w:r>
      <w:r>
        <w:rPr>
          <w:rFonts w:ascii="Times New Roman" w:hAnsi="Times New Roman" w:cs="Times New Roman"/>
          <w:sz w:val="18"/>
          <w:szCs w:val="18"/>
        </w:rPr>
        <w:tab/>
      </w:r>
      <w:r w:rsidRPr="00143535">
        <w:rPr>
          <w:rFonts w:ascii="Times New Roman" w:hAnsi="Times New Roman" w:cs="Times New Roman"/>
          <w:sz w:val="18"/>
          <w:szCs w:val="18"/>
        </w:rPr>
        <w:t>W szczególności obiekty generujące uciążliwości zapachowe, hałasowe, świetlne.</w:t>
      </w:r>
    </w:p>
  </w:footnote>
  <w:footnote w:id="5">
    <w:p w:rsidR="00E6102C" w:rsidRPr="00143535" w:rsidRDefault="00E6102C" w:rsidP="00143535">
      <w:pPr>
        <w:spacing w:after="0" w:line="240" w:lineRule="auto"/>
        <w:ind w:left="284" w:hanging="284"/>
        <w:jc w:val="both"/>
        <w:rPr>
          <w:rFonts w:ascii="Times New Roman" w:hAnsi="Times New Roman" w:cs="Times New Roman"/>
          <w:sz w:val="18"/>
          <w:szCs w:val="18"/>
        </w:rPr>
      </w:pPr>
      <w:r w:rsidRPr="00143535">
        <w:rPr>
          <w:rStyle w:val="Odwoanieprzypisudolnego"/>
          <w:rFonts w:ascii="Times New Roman" w:hAnsi="Times New Roman"/>
          <w:sz w:val="18"/>
          <w:szCs w:val="18"/>
        </w:rPr>
        <w:t>4)</w:t>
      </w:r>
      <w:r>
        <w:rPr>
          <w:rFonts w:ascii="Times New Roman" w:hAnsi="Times New Roman" w:cs="Times New Roman"/>
          <w:sz w:val="18"/>
          <w:szCs w:val="18"/>
        </w:rPr>
        <w:tab/>
      </w:r>
      <w:r w:rsidRPr="00143535">
        <w:rPr>
          <w:rFonts w:ascii="Times New Roman" w:hAnsi="Times New Roman" w:cs="Times New Roman"/>
          <w:sz w:val="18"/>
          <w:szCs w:val="18"/>
        </w:rPr>
        <w:t>Akty prawne (rozporządzenia, zarządzenia, uchwały) w sprawie:</w:t>
      </w:r>
    </w:p>
    <w:p w:rsidR="00E6102C" w:rsidRPr="00143535" w:rsidRDefault="00E6102C" w:rsidP="00143535">
      <w:pPr>
        <w:pStyle w:val="Akapitzlist"/>
        <w:widowControl/>
        <w:numPr>
          <w:ilvl w:val="0"/>
          <w:numId w:val="5"/>
        </w:numPr>
        <w:autoSpaceDE/>
        <w:autoSpaceDN/>
        <w:adjustRightInd/>
        <w:spacing w:line="240" w:lineRule="auto"/>
        <w:ind w:left="567" w:hanging="283"/>
        <w:jc w:val="both"/>
        <w:rPr>
          <w:rFonts w:cs="Times New Roman"/>
          <w:sz w:val="18"/>
          <w:szCs w:val="18"/>
        </w:rPr>
      </w:pPr>
      <w:r w:rsidRPr="00143535">
        <w:rPr>
          <w:rFonts w:cs="Times New Roman"/>
          <w:sz w:val="18"/>
          <w:szCs w:val="18"/>
        </w:rPr>
        <w:t>dokonania rezerwacji obszaru inwestycji (CPK),</w:t>
      </w:r>
    </w:p>
    <w:p w:rsidR="00E6102C" w:rsidRPr="00143535" w:rsidRDefault="00E6102C" w:rsidP="00143535">
      <w:pPr>
        <w:pStyle w:val="Akapitzlist"/>
        <w:widowControl/>
        <w:numPr>
          <w:ilvl w:val="0"/>
          <w:numId w:val="5"/>
        </w:numPr>
        <w:autoSpaceDE/>
        <w:autoSpaceDN/>
        <w:adjustRightInd/>
        <w:spacing w:line="240" w:lineRule="auto"/>
        <w:ind w:left="567" w:hanging="283"/>
        <w:jc w:val="both"/>
        <w:rPr>
          <w:rFonts w:cs="Times New Roman"/>
          <w:sz w:val="18"/>
          <w:szCs w:val="18"/>
        </w:rPr>
      </w:pPr>
      <w:r w:rsidRPr="00143535">
        <w:rPr>
          <w:rFonts w:cs="Times New Roman"/>
          <w:sz w:val="18"/>
          <w:szCs w:val="18"/>
        </w:rPr>
        <w:t>lokalizacji inwestycji mieszkaniowej lub inwestycji towarzyszącej,</w:t>
      </w:r>
    </w:p>
    <w:p w:rsidR="00E6102C" w:rsidRPr="00143535" w:rsidRDefault="00E6102C" w:rsidP="00143535">
      <w:pPr>
        <w:pStyle w:val="Akapitzlist"/>
        <w:widowControl/>
        <w:numPr>
          <w:ilvl w:val="0"/>
          <w:numId w:val="5"/>
        </w:numPr>
        <w:autoSpaceDE/>
        <w:autoSpaceDN/>
        <w:adjustRightInd/>
        <w:spacing w:line="240" w:lineRule="auto"/>
        <w:ind w:left="567" w:hanging="283"/>
        <w:jc w:val="both"/>
        <w:rPr>
          <w:rFonts w:cs="Times New Roman"/>
          <w:sz w:val="18"/>
          <w:szCs w:val="18"/>
        </w:rPr>
      </w:pPr>
      <w:r w:rsidRPr="00143535">
        <w:rPr>
          <w:rFonts w:cs="Times New Roman"/>
          <w:sz w:val="18"/>
          <w:szCs w:val="18"/>
        </w:rPr>
        <w:t>ustanowienia form ochrony przyrody lub ich otulin (parku narodowego, rezerwatu przyrody, parku krajobrazowego, obszaru chronionego krajobrazu, obszaru Natura 2000, pomnika przyrody, stanowiska dokumentacyjnego, użytku ekologicznego, zespołu przyrodniczo-krajobrazowego, ochrony gatunkowej roślin, zwierząt i grzybów),</w:t>
      </w:r>
    </w:p>
    <w:p w:rsidR="00E6102C" w:rsidRPr="00143535" w:rsidRDefault="00E6102C" w:rsidP="00143535">
      <w:pPr>
        <w:pStyle w:val="Akapitzlist"/>
        <w:widowControl/>
        <w:numPr>
          <w:ilvl w:val="0"/>
          <w:numId w:val="5"/>
        </w:numPr>
        <w:autoSpaceDE/>
        <w:autoSpaceDN/>
        <w:adjustRightInd/>
        <w:spacing w:line="240" w:lineRule="auto"/>
        <w:ind w:left="567" w:hanging="283"/>
        <w:jc w:val="both"/>
        <w:rPr>
          <w:rFonts w:cs="Times New Roman"/>
          <w:sz w:val="18"/>
          <w:szCs w:val="18"/>
        </w:rPr>
      </w:pPr>
      <w:r w:rsidRPr="00143535">
        <w:rPr>
          <w:rFonts w:cs="Times New Roman"/>
          <w:sz w:val="18"/>
          <w:szCs w:val="18"/>
        </w:rPr>
        <w:t>ustanowienia strefy ochronnej terenu ochrony bezpośredniej i terenu ochrony pośredniej ujęcia wody,</w:t>
      </w:r>
    </w:p>
    <w:p w:rsidR="00E6102C" w:rsidRPr="00143535" w:rsidRDefault="00E6102C" w:rsidP="00143535">
      <w:pPr>
        <w:pStyle w:val="Akapitzlist"/>
        <w:widowControl/>
        <w:numPr>
          <w:ilvl w:val="0"/>
          <w:numId w:val="5"/>
        </w:numPr>
        <w:autoSpaceDE/>
        <w:autoSpaceDN/>
        <w:adjustRightInd/>
        <w:spacing w:line="240" w:lineRule="auto"/>
        <w:ind w:left="567" w:hanging="283"/>
        <w:jc w:val="both"/>
        <w:rPr>
          <w:rFonts w:cs="Times New Roman"/>
          <w:sz w:val="18"/>
          <w:szCs w:val="18"/>
        </w:rPr>
      </w:pPr>
      <w:r w:rsidRPr="00143535">
        <w:rPr>
          <w:rFonts w:cs="Times New Roman"/>
          <w:sz w:val="18"/>
          <w:szCs w:val="18"/>
        </w:rPr>
        <w:t>wyznaczenia obszarów cichych w aglomeracji lub obszarów cichych poza aglomeracją,</w:t>
      </w:r>
    </w:p>
    <w:p w:rsidR="00E6102C" w:rsidRPr="00143535" w:rsidRDefault="00E6102C" w:rsidP="00143535">
      <w:pPr>
        <w:pStyle w:val="Akapitzlist"/>
        <w:widowControl/>
        <w:numPr>
          <w:ilvl w:val="0"/>
          <w:numId w:val="5"/>
        </w:numPr>
        <w:autoSpaceDE/>
        <w:autoSpaceDN/>
        <w:adjustRightInd/>
        <w:spacing w:line="240" w:lineRule="auto"/>
        <w:ind w:left="567" w:hanging="283"/>
        <w:jc w:val="both"/>
        <w:rPr>
          <w:rFonts w:cs="Times New Roman"/>
          <w:sz w:val="18"/>
          <w:szCs w:val="18"/>
        </w:rPr>
      </w:pPr>
      <w:r w:rsidRPr="00143535">
        <w:rPr>
          <w:rFonts w:cs="Times New Roman"/>
          <w:sz w:val="18"/>
          <w:szCs w:val="18"/>
        </w:rPr>
        <w:t>utworzenia obszaru ograniczonego użytkowania,</w:t>
      </w:r>
    </w:p>
    <w:p w:rsidR="00E6102C" w:rsidRPr="00143535" w:rsidRDefault="00E6102C" w:rsidP="00143535">
      <w:pPr>
        <w:pStyle w:val="Akapitzlist"/>
        <w:widowControl/>
        <w:numPr>
          <w:ilvl w:val="0"/>
          <w:numId w:val="5"/>
        </w:numPr>
        <w:autoSpaceDE/>
        <w:autoSpaceDN/>
        <w:adjustRightInd/>
        <w:spacing w:line="240" w:lineRule="auto"/>
        <w:ind w:left="567" w:hanging="283"/>
        <w:jc w:val="both"/>
        <w:rPr>
          <w:rFonts w:cs="Times New Roman"/>
          <w:sz w:val="18"/>
          <w:szCs w:val="18"/>
        </w:rPr>
      </w:pPr>
      <w:r w:rsidRPr="00143535">
        <w:rPr>
          <w:rFonts w:cs="Times New Roman"/>
          <w:sz w:val="18"/>
          <w:szCs w:val="18"/>
        </w:rPr>
        <w:t>uznania zabytku za pomnik historii,</w:t>
      </w:r>
    </w:p>
    <w:p w:rsidR="00E6102C" w:rsidRPr="00143535" w:rsidRDefault="00E6102C" w:rsidP="00143535">
      <w:pPr>
        <w:pStyle w:val="Akapitzlist"/>
        <w:widowControl/>
        <w:numPr>
          <w:ilvl w:val="0"/>
          <w:numId w:val="5"/>
        </w:numPr>
        <w:autoSpaceDE/>
        <w:autoSpaceDN/>
        <w:adjustRightInd/>
        <w:spacing w:line="240" w:lineRule="auto"/>
        <w:ind w:left="567" w:hanging="283"/>
        <w:jc w:val="both"/>
        <w:rPr>
          <w:rFonts w:cs="Times New Roman"/>
          <w:sz w:val="18"/>
          <w:szCs w:val="18"/>
        </w:rPr>
      </w:pPr>
      <w:r w:rsidRPr="00143535">
        <w:rPr>
          <w:rFonts w:cs="Times New Roman"/>
          <w:sz w:val="18"/>
          <w:szCs w:val="18"/>
        </w:rPr>
        <w:t>określenia granic obszaru Pomnika Zagłady i jego strefy ochronnej, utworzenia parku kulturowego,</w:t>
      </w:r>
    </w:p>
    <w:p w:rsidR="00E6102C" w:rsidRPr="00A80C58" w:rsidRDefault="00E6102C" w:rsidP="00E6102C">
      <w:pPr>
        <w:pStyle w:val="Akapitzlist"/>
        <w:widowControl/>
        <w:numPr>
          <w:ilvl w:val="0"/>
          <w:numId w:val="5"/>
        </w:numPr>
        <w:autoSpaceDE/>
        <w:autoSpaceDN/>
        <w:adjustRightInd/>
        <w:spacing w:line="240" w:lineRule="auto"/>
        <w:ind w:left="567" w:hanging="283"/>
        <w:jc w:val="both"/>
        <w:rPr>
          <w:rFonts w:cs="Times New Roman"/>
          <w:sz w:val="18"/>
          <w:szCs w:val="18"/>
        </w:rPr>
      </w:pPr>
      <w:r w:rsidRPr="00A80C58">
        <w:rPr>
          <w:rFonts w:cs="Times New Roman"/>
          <w:sz w:val="18"/>
          <w:szCs w:val="18"/>
        </w:rPr>
        <w:t>ustalenia zasad i warunków sytuowania obiektów małej architektury, tablic reklamowych i urządzeń reklamowych oraz ogrodzeń, ich gabarytów, standardów jakościowych oraz rodzajów materiałów budowlanych.</w:t>
      </w:r>
    </w:p>
  </w:footnote>
  <w:footnote w:id="6">
    <w:p w:rsidR="00E6102C" w:rsidRPr="00077623" w:rsidRDefault="00E6102C" w:rsidP="00EA1C22">
      <w:pPr>
        <w:pStyle w:val="Tekstprzypisudolnego"/>
        <w:rPr>
          <w:rFonts w:ascii="Times New Roman" w:hAnsi="Times New Roman"/>
          <w:sz w:val="18"/>
          <w:szCs w:val="18"/>
        </w:rPr>
      </w:pPr>
      <w:r>
        <w:rPr>
          <w:rStyle w:val="Odwoanieprzypisudolnego"/>
        </w:rPr>
        <w:t>*</w:t>
      </w:r>
      <w:r w:rsidRPr="00077623">
        <w:rPr>
          <w:rFonts w:ascii="Times New Roman" w:hAnsi="Times New Roman"/>
          <w:sz w:val="18"/>
          <w:szCs w:val="18"/>
        </w:rPr>
        <w:t>W przypadku braku miejscowego planu zagospodarowania przestrzennego umieszcza się informację „Brak planu”</w:t>
      </w:r>
      <w:r>
        <w:rPr>
          <w:rFonts w:ascii="Times New Roman" w:hAnsi="Times New Roman"/>
          <w:sz w:val="18"/>
          <w:szCs w:val="18"/>
        </w:rPr>
        <w:t>.</w:t>
      </w:r>
    </w:p>
  </w:footnote>
  <w:footnote w:id="7">
    <w:p w:rsidR="00E6102C" w:rsidRPr="008B0E61" w:rsidRDefault="00E6102C" w:rsidP="007E3E4D">
      <w:pPr>
        <w:pStyle w:val="Tekstprzypisudolnego"/>
        <w:ind w:left="284" w:hanging="284"/>
        <w:jc w:val="both"/>
        <w:rPr>
          <w:rFonts w:ascii="Times New Roman" w:hAnsi="Times New Roman"/>
          <w:sz w:val="18"/>
          <w:szCs w:val="18"/>
        </w:rPr>
      </w:pPr>
      <w:r w:rsidRPr="008B0E61">
        <w:rPr>
          <w:rStyle w:val="Odwoanieprzypisudolnego"/>
          <w:rFonts w:ascii="Times New Roman" w:hAnsi="Times New Roman"/>
          <w:sz w:val="18"/>
          <w:szCs w:val="18"/>
        </w:rPr>
        <w:t>5)</w:t>
      </w:r>
      <w:r>
        <w:rPr>
          <w:rFonts w:ascii="Times New Roman" w:hAnsi="Times New Roman"/>
          <w:sz w:val="18"/>
          <w:szCs w:val="18"/>
        </w:rPr>
        <w:tab/>
      </w:r>
      <w:r w:rsidRPr="008B0E61">
        <w:rPr>
          <w:rFonts w:ascii="Times New Roman" w:hAnsi="Times New Roman"/>
          <w:sz w:val="18"/>
          <w:szCs w:val="18"/>
        </w:rPr>
        <w:t>Wskazane inwestycje dotyczą w szczególności budowy lub rozbudowy dróg, budowy linii szynowych oraz przewidzianych korytarzy powietrznych, inwestycji komunalnych</w:t>
      </w:r>
      <w:r>
        <w:rPr>
          <w:rFonts w:ascii="Times New Roman" w:hAnsi="Times New Roman"/>
          <w:sz w:val="18"/>
          <w:szCs w:val="18"/>
        </w:rPr>
        <w:t>,</w:t>
      </w:r>
      <w:r w:rsidRPr="008B0E61">
        <w:rPr>
          <w:rFonts w:ascii="Times New Roman" w:hAnsi="Times New Roman"/>
          <w:sz w:val="18"/>
          <w:szCs w:val="18"/>
        </w:rPr>
        <w:t xml:space="preserve"> takich jak: oczyszczalnie ścieków, spalarnie śmieci, wysypiska, cmentarze.</w:t>
      </w:r>
    </w:p>
  </w:footnote>
  <w:footnote w:id="8">
    <w:p w:rsidR="00E6102C" w:rsidRPr="008B0E61" w:rsidRDefault="00E6102C" w:rsidP="00EA1C22">
      <w:pPr>
        <w:pStyle w:val="Tekstprzypisudolnego"/>
        <w:rPr>
          <w:rFonts w:ascii="Times New Roman" w:hAnsi="Times New Roman"/>
          <w:sz w:val="18"/>
          <w:szCs w:val="18"/>
        </w:rPr>
      </w:pPr>
      <w:r w:rsidRPr="008B0E61">
        <w:rPr>
          <w:rStyle w:val="Odwoanieprzypisudolnego"/>
          <w:rFonts w:ascii="Times New Roman" w:hAnsi="Times New Roman"/>
          <w:sz w:val="18"/>
          <w:szCs w:val="18"/>
        </w:rPr>
        <w:t>*</w:t>
      </w:r>
      <w:r w:rsidRPr="008B0E61">
        <w:rPr>
          <w:rFonts w:ascii="Times New Roman" w:hAnsi="Times New Roman"/>
          <w:sz w:val="18"/>
          <w:szCs w:val="18"/>
        </w:rPr>
        <w:t xml:space="preserve"> Niepotrzebne skreślić</w:t>
      </w:r>
      <w:r>
        <w:rPr>
          <w:rFonts w:ascii="Times New Roman" w:hAnsi="Times New Roman"/>
          <w:sz w:val="18"/>
          <w:szCs w:val="18"/>
        </w:rPr>
        <w:t>.</w:t>
      </w:r>
    </w:p>
  </w:footnote>
  <w:footnote w:id="9">
    <w:p w:rsidR="00E6102C" w:rsidRPr="008B0E61" w:rsidRDefault="00E6102C" w:rsidP="007E3E4D">
      <w:pPr>
        <w:pStyle w:val="Tekstprzypisudolnego"/>
        <w:ind w:left="284" w:hanging="284"/>
        <w:jc w:val="both"/>
        <w:rPr>
          <w:rFonts w:ascii="Times New Roman" w:hAnsi="Times New Roman"/>
          <w:sz w:val="18"/>
          <w:szCs w:val="18"/>
        </w:rPr>
      </w:pPr>
      <w:r w:rsidRPr="008B0E61">
        <w:rPr>
          <w:rStyle w:val="Odwoanieprzypisudolnego"/>
          <w:rFonts w:ascii="Times New Roman" w:hAnsi="Times New Roman"/>
          <w:sz w:val="18"/>
          <w:szCs w:val="18"/>
        </w:rPr>
        <w:t>6)</w:t>
      </w:r>
      <w:r>
        <w:rPr>
          <w:rFonts w:ascii="Times New Roman" w:hAnsi="Times New Roman"/>
          <w:sz w:val="18"/>
          <w:szCs w:val="18"/>
        </w:rPr>
        <w:tab/>
        <w:t xml:space="preserve">Zgodnie z art. 48 ust. 6 </w:t>
      </w:r>
      <w:r w:rsidRPr="00237E34">
        <w:rPr>
          <w:rFonts w:ascii="Times New Roman" w:hAnsi="Times New Roman"/>
          <w:sz w:val="18"/>
          <w:szCs w:val="18"/>
        </w:rPr>
        <w:t>ustawy z dnia … o ochronie praw nabywcy lokalu mieszkalnego lub domu jednorodzinnego oraz o Deweloperskim Funduszu Gwarancyjnym (Dz. U. ….)</w:t>
      </w:r>
      <w:r>
        <w:rPr>
          <w:rFonts w:ascii="Times New Roman" w:hAnsi="Times New Roman"/>
          <w:sz w:val="18"/>
          <w:szCs w:val="18"/>
        </w:rPr>
        <w:t xml:space="preserve"> w</w:t>
      </w:r>
      <w:r w:rsidRPr="00F84C86">
        <w:rPr>
          <w:rFonts w:ascii="Times New Roman" w:hAnsi="Times New Roman"/>
          <w:sz w:val="18"/>
          <w:szCs w:val="18"/>
        </w:rPr>
        <w:t>ysokość składki jest wyliczana według stawki procentowej obowiązującej w dniu rozpoczęcia sprzedaży lokali mieszkalnych lub domów jednorodzinnych w ramach danego przedsięwzięcia dewelopersk</w:t>
      </w:r>
      <w:r>
        <w:rPr>
          <w:rFonts w:ascii="Times New Roman" w:hAnsi="Times New Roman"/>
          <w:sz w:val="18"/>
          <w:szCs w:val="18"/>
        </w:rPr>
        <w:t>iego lub zadania inwestycyjnego</w:t>
      </w:r>
      <w:r w:rsidRPr="00F84C86">
        <w:rPr>
          <w:rFonts w:ascii="Times New Roman" w:hAnsi="Times New Roman"/>
          <w:sz w:val="18"/>
          <w:szCs w:val="18"/>
        </w:rPr>
        <w:t>.</w:t>
      </w:r>
      <w:r>
        <w:rPr>
          <w:rFonts w:ascii="Times New Roman" w:hAnsi="Times New Roman"/>
          <w:sz w:val="18"/>
          <w:szCs w:val="18"/>
        </w:rPr>
        <w:t xml:space="preserve"> Natomiast stawkę procentową </w:t>
      </w:r>
      <w:r w:rsidRPr="00E6714E">
        <w:rPr>
          <w:rFonts w:ascii="Times New Roman" w:hAnsi="Times New Roman"/>
          <w:sz w:val="18"/>
          <w:szCs w:val="18"/>
        </w:rPr>
        <w:t>określa</w:t>
      </w:r>
      <w:r>
        <w:rPr>
          <w:rFonts w:ascii="Times New Roman" w:hAnsi="Times New Roman"/>
          <w:sz w:val="18"/>
          <w:szCs w:val="18"/>
        </w:rPr>
        <w:t xml:space="preserve"> akt wykonawczy wydany </w:t>
      </w:r>
      <w:r w:rsidRPr="00E6714E">
        <w:rPr>
          <w:rFonts w:ascii="Times New Roman" w:hAnsi="Times New Roman"/>
          <w:sz w:val="18"/>
          <w:szCs w:val="18"/>
        </w:rPr>
        <w:t>na podstawie art. 48 ust.8ustawy z dnia … o ochronie praw nabywcy lokalu mieszkalnego lub domu jednorodzinnego oraz o Deweloperskim Funduszu Gwarancyjnym.</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764B05"/>
    <w:multiLevelType w:val="hybridMultilevel"/>
    <w:tmpl w:val="29FE3E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A10542F"/>
    <w:multiLevelType w:val="hybridMultilevel"/>
    <w:tmpl w:val="889A24E2"/>
    <w:lvl w:ilvl="0" w:tplc="FE18821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nsid w:val="3D797B32"/>
    <w:multiLevelType w:val="hybridMultilevel"/>
    <w:tmpl w:val="DDEE72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45076DB0"/>
    <w:multiLevelType w:val="multilevel"/>
    <w:tmpl w:val="00000006"/>
    <w:lvl w:ilvl="0">
      <w:start w:val="1"/>
      <w:numFmt w:val="lowerLetter"/>
      <w:lvlText w:val="(%1)"/>
      <w:lvlJc w:val="left"/>
      <w:pPr>
        <w:tabs>
          <w:tab w:val="num" w:pos="2058"/>
        </w:tabs>
        <w:ind w:left="2058" w:hanging="360"/>
      </w:pPr>
    </w:lvl>
    <w:lvl w:ilvl="1">
      <w:start w:val="1"/>
      <w:numFmt w:val="bullet"/>
      <w:lvlText w:val=""/>
      <w:lvlJc w:val="left"/>
      <w:pPr>
        <w:tabs>
          <w:tab w:val="num" w:pos="2145"/>
        </w:tabs>
        <w:ind w:left="2145" w:hanging="360"/>
      </w:pPr>
      <w:rPr>
        <w:rFonts w:ascii="Symbol" w:hAnsi="Symbol" w:cs="OpenSymbol"/>
      </w:rPr>
    </w:lvl>
    <w:lvl w:ilvl="2">
      <w:start w:val="1"/>
      <w:numFmt w:val="bullet"/>
      <w:lvlText w:val=""/>
      <w:lvlJc w:val="left"/>
      <w:pPr>
        <w:tabs>
          <w:tab w:val="num" w:pos="2505"/>
        </w:tabs>
        <w:ind w:left="2505" w:hanging="360"/>
      </w:pPr>
      <w:rPr>
        <w:rFonts w:ascii="Symbol" w:hAnsi="Symbol" w:cs="OpenSymbol"/>
      </w:rPr>
    </w:lvl>
    <w:lvl w:ilvl="3">
      <w:start w:val="1"/>
      <w:numFmt w:val="bullet"/>
      <w:lvlText w:val=""/>
      <w:lvlJc w:val="left"/>
      <w:pPr>
        <w:tabs>
          <w:tab w:val="num" w:pos="2865"/>
        </w:tabs>
        <w:ind w:left="2865" w:hanging="360"/>
      </w:pPr>
      <w:rPr>
        <w:rFonts w:ascii="Symbol" w:hAnsi="Symbol" w:cs="OpenSymbol"/>
      </w:rPr>
    </w:lvl>
    <w:lvl w:ilvl="4">
      <w:start w:val="1"/>
      <w:numFmt w:val="bullet"/>
      <w:lvlText w:val=""/>
      <w:lvlJc w:val="left"/>
      <w:pPr>
        <w:tabs>
          <w:tab w:val="num" w:pos="3225"/>
        </w:tabs>
        <w:ind w:left="3225" w:hanging="360"/>
      </w:pPr>
      <w:rPr>
        <w:rFonts w:ascii="Symbol" w:hAnsi="Symbol" w:cs="OpenSymbol"/>
      </w:rPr>
    </w:lvl>
    <w:lvl w:ilvl="5">
      <w:start w:val="1"/>
      <w:numFmt w:val="bullet"/>
      <w:lvlText w:val=""/>
      <w:lvlJc w:val="left"/>
      <w:pPr>
        <w:tabs>
          <w:tab w:val="num" w:pos="3585"/>
        </w:tabs>
        <w:ind w:left="3585" w:hanging="360"/>
      </w:pPr>
      <w:rPr>
        <w:rFonts w:ascii="Symbol" w:hAnsi="Symbol" w:cs="OpenSymbol"/>
      </w:rPr>
    </w:lvl>
    <w:lvl w:ilvl="6">
      <w:start w:val="1"/>
      <w:numFmt w:val="bullet"/>
      <w:lvlText w:val=""/>
      <w:lvlJc w:val="left"/>
      <w:pPr>
        <w:tabs>
          <w:tab w:val="num" w:pos="3945"/>
        </w:tabs>
        <w:ind w:left="3945" w:hanging="360"/>
      </w:pPr>
      <w:rPr>
        <w:rFonts w:ascii="Symbol" w:hAnsi="Symbol" w:cs="OpenSymbol"/>
      </w:rPr>
    </w:lvl>
    <w:lvl w:ilvl="7">
      <w:start w:val="1"/>
      <w:numFmt w:val="bullet"/>
      <w:lvlText w:val=""/>
      <w:lvlJc w:val="left"/>
      <w:pPr>
        <w:tabs>
          <w:tab w:val="num" w:pos="4305"/>
        </w:tabs>
        <w:ind w:left="4305" w:hanging="360"/>
      </w:pPr>
      <w:rPr>
        <w:rFonts w:ascii="Symbol" w:hAnsi="Symbol" w:cs="OpenSymbol"/>
      </w:rPr>
    </w:lvl>
    <w:lvl w:ilvl="8">
      <w:start w:val="1"/>
      <w:numFmt w:val="bullet"/>
      <w:lvlText w:val=""/>
      <w:lvlJc w:val="left"/>
      <w:pPr>
        <w:tabs>
          <w:tab w:val="num" w:pos="4665"/>
        </w:tabs>
        <w:ind w:left="4665" w:hanging="360"/>
      </w:pPr>
      <w:rPr>
        <w:rFonts w:ascii="Symbol" w:hAnsi="Symbol" w:cs="OpenSymbol"/>
      </w:rPr>
    </w:lvl>
  </w:abstractNum>
  <w:abstractNum w:abstractNumId="4">
    <w:nsid w:val="5819737E"/>
    <w:multiLevelType w:val="hybridMultilevel"/>
    <w:tmpl w:val="E102BAC4"/>
    <w:lvl w:ilvl="0" w:tplc="93A8179C">
      <w:start w:val="3"/>
      <w:numFmt w:val="upperRoman"/>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5AFF2555"/>
    <w:multiLevelType w:val="hybridMultilevel"/>
    <w:tmpl w:val="9BBAA0D6"/>
    <w:lvl w:ilvl="0" w:tplc="7C1A51B2">
      <w:start w:val="1"/>
      <w:numFmt w:val="upperRoman"/>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736A6CBE"/>
    <w:multiLevelType w:val="hybridMultilevel"/>
    <w:tmpl w:val="5476A2BA"/>
    <w:lvl w:ilvl="0" w:tplc="4AA03B26">
      <w:start w:val="1"/>
      <w:numFmt w:val="decimal"/>
      <w:lvlText w:val="%1."/>
      <w:lvlJc w:val="left"/>
      <w:pPr>
        <w:tabs>
          <w:tab w:val="num" w:pos="720"/>
        </w:tabs>
        <w:ind w:left="720" w:hanging="360"/>
      </w:pPr>
      <w:rPr>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
    <w:nsid w:val="7CFB0839"/>
    <w:multiLevelType w:val="hybridMultilevel"/>
    <w:tmpl w:val="60586770"/>
    <w:lvl w:ilvl="0" w:tplc="75BAFD5C">
      <w:start w:val="1"/>
      <w:numFmt w:val="decimal"/>
      <w:lvlText w:val="%1)"/>
      <w:lvlJc w:val="left"/>
      <w:pPr>
        <w:ind w:left="76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4"/>
  </w:num>
  <w:num w:numId="3">
    <w:abstractNumId w:val="7"/>
  </w:num>
  <w:num w:numId="4">
    <w:abstractNumId w:val="0"/>
  </w:num>
  <w:num w:numId="5">
    <w:abstractNumId w:val="2"/>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numRestart w:val="eachPage"/>
    <w:footnote w:id="0"/>
    <w:footnote w:id="1"/>
  </w:footnotePr>
  <w:endnotePr>
    <w:endnote w:id="0"/>
    <w:endnote w:id="1"/>
  </w:endnotePr>
  <w:compat/>
  <w:rsids>
    <w:rsidRoot w:val="00EA1C22"/>
    <w:rsid w:val="00016CC4"/>
    <w:rsid w:val="0009451A"/>
    <w:rsid w:val="00110283"/>
    <w:rsid w:val="0012739C"/>
    <w:rsid w:val="00143535"/>
    <w:rsid w:val="001447F7"/>
    <w:rsid w:val="001C40E5"/>
    <w:rsid w:val="002917F5"/>
    <w:rsid w:val="002D4573"/>
    <w:rsid w:val="00322942"/>
    <w:rsid w:val="00347D80"/>
    <w:rsid w:val="00395A7B"/>
    <w:rsid w:val="003F7E75"/>
    <w:rsid w:val="004460C4"/>
    <w:rsid w:val="004A37EC"/>
    <w:rsid w:val="004C5602"/>
    <w:rsid w:val="00533E68"/>
    <w:rsid w:val="005F17E8"/>
    <w:rsid w:val="006177CF"/>
    <w:rsid w:val="00627C3E"/>
    <w:rsid w:val="0068673E"/>
    <w:rsid w:val="006D13BC"/>
    <w:rsid w:val="00754096"/>
    <w:rsid w:val="007D644E"/>
    <w:rsid w:val="007E3E4D"/>
    <w:rsid w:val="007E6C45"/>
    <w:rsid w:val="007F577D"/>
    <w:rsid w:val="00827BA2"/>
    <w:rsid w:val="00874DC9"/>
    <w:rsid w:val="00920895"/>
    <w:rsid w:val="00921952"/>
    <w:rsid w:val="00952F99"/>
    <w:rsid w:val="00A80C58"/>
    <w:rsid w:val="00AB412E"/>
    <w:rsid w:val="00B82368"/>
    <w:rsid w:val="00C05345"/>
    <w:rsid w:val="00C13ECE"/>
    <w:rsid w:val="00C55723"/>
    <w:rsid w:val="00C61580"/>
    <w:rsid w:val="00CE54A7"/>
    <w:rsid w:val="00D36545"/>
    <w:rsid w:val="00D61C15"/>
    <w:rsid w:val="00DB530F"/>
    <w:rsid w:val="00DE3592"/>
    <w:rsid w:val="00E6102C"/>
    <w:rsid w:val="00E85EAE"/>
    <w:rsid w:val="00EA1C22"/>
    <w:rsid w:val="00EF63EF"/>
    <w:rsid w:val="00F32286"/>
    <w:rsid w:val="00FA7679"/>
    <w:rsid w:val="00FD125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D4573"/>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A1C2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A1C22"/>
  </w:style>
  <w:style w:type="paragraph" w:styleId="Tekstprzypisudolnego">
    <w:name w:val="footnote text"/>
    <w:basedOn w:val="Normalny"/>
    <w:link w:val="TekstprzypisudolnegoZnak"/>
    <w:uiPriority w:val="99"/>
    <w:semiHidden/>
    <w:unhideWhenUsed/>
    <w:rsid w:val="00EA1C2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A1C22"/>
    <w:rPr>
      <w:sz w:val="20"/>
      <w:szCs w:val="20"/>
    </w:rPr>
  </w:style>
  <w:style w:type="character" w:styleId="Odwoanieprzypisudolnego">
    <w:name w:val="footnote reference"/>
    <w:uiPriority w:val="99"/>
    <w:semiHidden/>
    <w:rsid w:val="00EA1C22"/>
    <w:rPr>
      <w:rFonts w:cs="Times New Roman"/>
      <w:vertAlign w:val="superscript"/>
    </w:rPr>
  </w:style>
  <w:style w:type="paragraph" w:styleId="Akapitzlist">
    <w:name w:val="List Paragraph"/>
    <w:basedOn w:val="Normalny"/>
    <w:uiPriority w:val="34"/>
    <w:qFormat/>
    <w:rsid w:val="00EA1C22"/>
    <w:pPr>
      <w:widowControl w:val="0"/>
      <w:autoSpaceDE w:val="0"/>
      <w:autoSpaceDN w:val="0"/>
      <w:adjustRightInd w:val="0"/>
      <w:spacing w:after="0" w:line="360" w:lineRule="auto"/>
      <w:ind w:left="720"/>
      <w:contextualSpacing/>
    </w:pPr>
    <w:rPr>
      <w:rFonts w:ascii="Times New Roman" w:eastAsia="Times New Roman" w:hAnsi="Times New Roman" w:cs="Arial"/>
      <w:sz w:val="24"/>
      <w:szCs w:val="20"/>
      <w:lang w:eastAsia="pl-PL"/>
    </w:rPr>
  </w:style>
  <w:style w:type="table" w:customStyle="1" w:styleId="Tabela-Siatka111">
    <w:name w:val="Tabela - Siatka111"/>
    <w:basedOn w:val="Standardowy"/>
    <w:next w:val="Tabela-Siatka"/>
    <w:rsid w:val="00EA1C22"/>
    <w:pPr>
      <w:spacing w:after="0" w:line="240" w:lineRule="auto"/>
    </w:pPr>
    <w:rPr>
      <w:rFonts w:ascii="Times New Roman" w:eastAsia="Times New Roman" w:hAnsi="Times New Roman"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a-Siatka">
    <w:name w:val="Table Grid"/>
    <w:basedOn w:val="Standardowy"/>
    <w:uiPriority w:val="39"/>
    <w:rsid w:val="00EA1C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opka">
    <w:name w:val="footer"/>
    <w:basedOn w:val="Normalny"/>
    <w:link w:val="StopkaZnak"/>
    <w:uiPriority w:val="99"/>
    <w:unhideWhenUsed/>
    <w:rsid w:val="00EA1C2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A1C22"/>
  </w:style>
  <w:style w:type="paragraph" w:styleId="Tekstdymka">
    <w:name w:val="Balloon Text"/>
    <w:basedOn w:val="Normalny"/>
    <w:link w:val="TekstdymkaZnak"/>
    <w:uiPriority w:val="99"/>
    <w:semiHidden/>
    <w:unhideWhenUsed/>
    <w:rsid w:val="007E3E4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E3E4D"/>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827BA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27BA2"/>
    <w:rPr>
      <w:sz w:val="20"/>
      <w:szCs w:val="20"/>
    </w:rPr>
  </w:style>
  <w:style w:type="character" w:styleId="Odwoanieprzypisukocowego">
    <w:name w:val="endnote reference"/>
    <w:basedOn w:val="Domylnaczcionkaakapitu"/>
    <w:uiPriority w:val="99"/>
    <w:semiHidden/>
    <w:unhideWhenUsed/>
    <w:rsid w:val="00827BA2"/>
    <w:rPr>
      <w:vertAlign w:val="superscript"/>
    </w:rPr>
  </w:style>
  <w:style w:type="character" w:styleId="Uwydatnienie">
    <w:name w:val="Emphasis"/>
    <w:basedOn w:val="Domylnaczcionkaakapitu"/>
    <w:qFormat/>
    <w:rsid w:val="00322942"/>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6e3ab04-e609-4bbf-80d0-e25f460254ff}" enabled="1" method="Standard" siteId="{0d320d22-34e3-428a-bd15-6025042276bf}" contentBits="0" removed="0"/>
</clbl:labelList>
</file>

<file path=docProps/app.xml><?xml version="1.0" encoding="utf-8"?>
<Properties xmlns="http://schemas.openxmlformats.org/officeDocument/2006/extended-properties" xmlns:vt="http://schemas.openxmlformats.org/officeDocument/2006/docPropsVTypes">
  <Template>Normal.dotm</Template>
  <TotalTime>65</TotalTime>
  <Pages>1</Pages>
  <Words>4201</Words>
  <Characters>25208</Characters>
  <Application>Microsoft Office Word</Application>
  <DocSecurity>0</DocSecurity>
  <Lines>210</Lines>
  <Paragraphs>58</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29351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Pietrzak Ewa</dc:creator>
  <cp:keywords/>
  <dc:description/>
  <cp:lastModifiedBy>Ela</cp:lastModifiedBy>
  <cp:revision>6</cp:revision>
  <dcterms:created xsi:type="dcterms:W3CDTF">2026-01-22T07:16:00Z</dcterms:created>
  <dcterms:modified xsi:type="dcterms:W3CDTF">2026-03-25T13:24:00Z</dcterms:modified>
</cp:coreProperties>
</file>